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602E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602E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090079" w:rsidRDefault="001B63CC" w:rsidP="00090079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 w:rsidR="00090079">
        <w:rPr>
          <w:b/>
          <w:smallCaps/>
          <w:spacing w:val="20"/>
          <w:sz w:val="32"/>
          <w:szCs w:val="32"/>
        </w:rPr>
        <w:t xml:space="preserve"> </w:t>
      </w:r>
    </w:p>
    <w:p w:rsidR="001B63CC" w:rsidRDefault="00090079" w:rsidP="00090079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="001B63CC"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A1352F" w:rsidRPr="00563AB8" w:rsidRDefault="00A1352F" w:rsidP="00A1352F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602EC4">
        <w:t>19.12.</w:t>
      </w:r>
      <w:r w:rsidR="00541006">
        <w:t>2019</w:t>
      </w:r>
      <w:r w:rsidR="00602EC4">
        <w:t xml:space="preserve"> г.</w:t>
      </w:r>
      <w:r w:rsidR="00602EC4">
        <w:tab/>
        <w:t xml:space="preserve">             № 204</w:t>
      </w:r>
    </w:p>
    <w:p w:rsidR="001B63CC" w:rsidRDefault="001B63CC" w:rsidP="00541006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090079" w:rsidRDefault="00090079" w:rsidP="00541006"/>
    <w:p w:rsidR="00090079" w:rsidRDefault="00090079" w:rsidP="00541006"/>
    <w:p w:rsidR="00A1352F" w:rsidRPr="00313BCC" w:rsidRDefault="00A1352F" w:rsidP="00541006"/>
    <w:p w:rsidR="00101945" w:rsidRDefault="00101945" w:rsidP="00101945">
      <w:pPr>
        <w:ind w:firstLine="851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09007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25 декабря 2017 года № 216 «Об утверждении Стандартов осуществления внутреннего муниципального финансового контроля»</w:t>
      </w:r>
    </w:p>
    <w:p w:rsidR="00090079" w:rsidRPr="00090079" w:rsidRDefault="00090079" w:rsidP="00101945">
      <w:pPr>
        <w:ind w:firstLine="851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101945" w:rsidRPr="00090079" w:rsidRDefault="00101945" w:rsidP="00313BCC">
      <w:pPr>
        <w:ind w:firstLine="851"/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13BCC" w:rsidRPr="00090079" w:rsidRDefault="00313BCC" w:rsidP="00313BCC">
      <w:pPr>
        <w:ind w:firstLine="851"/>
        <w:jc w:val="both"/>
        <w:rPr>
          <w:sz w:val="28"/>
          <w:szCs w:val="28"/>
        </w:rPr>
      </w:pPr>
      <w:r w:rsidRPr="00090079">
        <w:rPr>
          <w:color w:val="000000"/>
          <w:sz w:val="28"/>
          <w:szCs w:val="28"/>
        </w:rPr>
        <w:t xml:space="preserve">Руководствуясь надзорным актом Крымской межрайонной прокуратуры от </w:t>
      </w:r>
      <w:r w:rsidR="00101945" w:rsidRPr="00090079">
        <w:rPr>
          <w:color w:val="000000"/>
          <w:sz w:val="28"/>
          <w:szCs w:val="28"/>
        </w:rPr>
        <w:t>29 ноября 2019 года № 7-02-2019/3585</w:t>
      </w:r>
      <w:r w:rsidR="007B4792" w:rsidRPr="00090079">
        <w:rPr>
          <w:color w:val="000000"/>
          <w:sz w:val="28"/>
          <w:szCs w:val="28"/>
        </w:rPr>
        <w:t xml:space="preserve">, </w:t>
      </w:r>
      <w:r w:rsidR="00101945" w:rsidRPr="00090079">
        <w:rPr>
          <w:color w:val="000000"/>
          <w:sz w:val="28"/>
          <w:szCs w:val="28"/>
        </w:rPr>
        <w:t>в целях обеспечения единообразия применения сроков контрольных мероприятий, осуществляемых в отношении объектов контроля, руководствуясь Бюджетным кодексом Российской Федерации</w:t>
      </w:r>
      <w:r w:rsidRPr="00090079">
        <w:rPr>
          <w:sz w:val="28"/>
          <w:szCs w:val="28"/>
        </w:rPr>
        <w:t>,</w:t>
      </w:r>
      <w:r w:rsidR="007B4792" w:rsidRPr="00090079">
        <w:rPr>
          <w:sz w:val="28"/>
          <w:szCs w:val="28"/>
        </w:rPr>
        <w:t xml:space="preserve">              </w:t>
      </w:r>
      <w:r w:rsidRPr="00090079">
        <w:rPr>
          <w:sz w:val="28"/>
          <w:szCs w:val="28"/>
        </w:rPr>
        <w:t xml:space="preserve"> </w:t>
      </w:r>
      <w:proofErr w:type="gramStart"/>
      <w:r w:rsidRPr="00090079">
        <w:rPr>
          <w:sz w:val="28"/>
          <w:szCs w:val="28"/>
        </w:rPr>
        <w:t>п</w:t>
      </w:r>
      <w:proofErr w:type="gramEnd"/>
      <w:r w:rsidRPr="00090079">
        <w:rPr>
          <w:sz w:val="28"/>
          <w:szCs w:val="28"/>
        </w:rPr>
        <w:t xml:space="preserve"> о с т а н о в л я ю:</w:t>
      </w:r>
    </w:p>
    <w:p w:rsidR="00101945" w:rsidRPr="00090079" w:rsidRDefault="00101945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1. Внести в постановление администрации Адагумского сельского поселения Крымского района от 25 декабря 2017 года № 216 «Об утверждении Стандартов осуществления внутреннего муниципального финансового контроля» следующие изменения:</w:t>
      </w:r>
    </w:p>
    <w:p w:rsidR="00101945" w:rsidRPr="00090079" w:rsidRDefault="009458D8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1) пункт 25 </w:t>
      </w:r>
      <w:r w:rsidR="00101945" w:rsidRPr="00090079">
        <w:rPr>
          <w:sz w:val="28"/>
          <w:szCs w:val="28"/>
        </w:rPr>
        <w:t>приложения к постановлению изложить в следующей редакции:</w:t>
      </w:r>
    </w:p>
    <w:p w:rsidR="009458D8" w:rsidRPr="00090079" w:rsidRDefault="009458D8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«25. Распоряжение о назначении контрольного мероприятия должно содержать следующие сведения: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а) наименование объекта контроля;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б) место нахождения объекта контроля;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в) место фактического осуществления деятельности объекта контроля;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г) проверяемый период;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д) основание проведения контрольного мероприятия;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е) тему контрольного мероприятия;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ж) персональный состав ревизионной группы (проверяющий) и руководитель ревизионной группы (при проведении контрольного мероприятия ревизионной группой),</w:t>
      </w:r>
      <w:r w:rsidR="00350EB4" w:rsidRPr="00090079">
        <w:rPr>
          <w:sz w:val="28"/>
          <w:szCs w:val="28"/>
        </w:rPr>
        <w:t xml:space="preserve"> </w:t>
      </w:r>
      <w:r w:rsidRPr="00090079">
        <w:rPr>
          <w:sz w:val="28"/>
          <w:szCs w:val="28"/>
        </w:rPr>
        <w:t>а также экспертов, представителей экспертных организаций, привлекаемых к проведению контрольного мероприятия;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з) срок проведения контрольного мероприятия;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9458D8" w:rsidRPr="00090079" w:rsidRDefault="009458D8" w:rsidP="009458D8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Распоряжение о проведении контрольного мероприятия подписывается главой поселения и регистрируется»</w:t>
      </w:r>
      <w:r w:rsidR="004957D0" w:rsidRPr="00090079">
        <w:rPr>
          <w:sz w:val="28"/>
          <w:szCs w:val="28"/>
        </w:rPr>
        <w:t>;</w:t>
      </w:r>
    </w:p>
    <w:p w:rsidR="001D350B" w:rsidRPr="00090079" w:rsidRDefault="009458D8" w:rsidP="001D350B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lastRenderedPageBreak/>
        <w:t>2)</w:t>
      </w:r>
      <w:r w:rsidR="00101945" w:rsidRPr="00090079">
        <w:rPr>
          <w:sz w:val="28"/>
          <w:szCs w:val="28"/>
        </w:rPr>
        <w:t xml:space="preserve"> </w:t>
      </w:r>
      <w:r w:rsidRPr="00090079">
        <w:rPr>
          <w:sz w:val="28"/>
          <w:szCs w:val="28"/>
        </w:rPr>
        <w:t>пункт 31 приложения к постановлению</w:t>
      </w:r>
      <w:r w:rsidR="001D350B" w:rsidRPr="00090079">
        <w:rPr>
          <w:sz w:val="28"/>
          <w:szCs w:val="28"/>
        </w:rPr>
        <w:t xml:space="preserve"> изменить и изложить в </w:t>
      </w:r>
      <w:r w:rsidRPr="00090079">
        <w:rPr>
          <w:sz w:val="28"/>
          <w:szCs w:val="28"/>
        </w:rPr>
        <w:t xml:space="preserve">следующей редакции: </w:t>
      </w:r>
    </w:p>
    <w:p w:rsidR="005B0AC6" w:rsidRPr="00090079" w:rsidRDefault="004957D0" w:rsidP="001D350B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«31. </w:t>
      </w:r>
      <w:r w:rsidR="00101945" w:rsidRPr="00090079">
        <w:rPr>
          <w:sz w:val="28"/>
          <w:szCs w:val="28"/>
        </w:rPr>
        <w:t>Срок проведения контрольного ме</w:t>
      </w:r>
      <w:r w:rsidRPr="00090079">
        <w:rPr>
          <w:sz w:val="28"/>
          <w:szCs w:val="28"/>
        </w:rPr>
        <w:t>роприятия не может превышать</w:t>
      </w:r>
      <w:r w:rsidR="001D350B" w:rsidRPr="00090079">
        <w:rPr>
          <w:sz w:val="28"/>
          <w:szCs w:val="28"/>
        </w:rPr>
        <w:t xml:space="preserve"> сроков, установленных пунктом 66 </w:t>
      </w:r>
      <w:r w:rsidR="002D6EB5" w:rsidRPr="00090079">
        <w:rPr>
          <w:sz w:val="28"/>
          <w:szCs w:val="28"/>
        </w:rPr>
        <w:t xml:space="preserve"> </w:t>
      </w:r>
      <w:r w:rsidR="001D350B" w:rsidRPr="00090079">
        <w:rPr>
          <w:sz w:val="28"/>
          <w:szCs w:val="28"/>
        </w:rPr>
        <w:t>и пунктом 77</w:t>
      </w:r>
      <w:r w:rsidR="002D6EB5" w:rsidRPr="00090079">
        <w:rPr>
          <w:sz w:val="28"/>
          <w:szCs w:val="28"/>
        </w:rPr>
        <w:t xml:space="preserve"> данных Стандартов»;</w:t>
      </w:r>
      <w:r w:rsidR="005B0AC6" w:rsidRPr="00090079">
        <w:rPr>
          <w:sz w:val="28"/>
          <w:szCs w:val="28"/>
        </w:rPr>
        <w:t xml:space="preserve"> </w:t>
      </w:r>
    </w:p>
    <w:p w:rsidR="00101945" w:rsidRPr="00090079" w:rsidRDefault="004957D0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3</w:t>
      </w:r>
      <w:r w:rsidR="00101945" w:rsidRPr="00090079">
        <w:rPr>
          <w:sz w:val="28"/>
          <w:szCs w:val="28"/>
        </w:rPr>
        <w:t xml:space="preserve">) </w:t>
      </w:r>
      <w:r w:rsidRPr="00090079">
        <w:rPr>
          <w:sz w:val="28"/>
          <w:szCs w:val="28"/>
        </w:rPr>
        <w:t xml:space="preserve">пункт 32 </w:t>
      </w:r>
      <w:r w:rsidR="00101945" w:rsidRPr="00090079">
        <w:rPr>
          <w:sz w:val="28"/>
          <w:szCs w:val="28"/>
        </w:rPr>
        <w:t xml:space="preserve"> приложения к постановлению</w:t>
      </w:r>
      <w:r w:rsidRPr="00090079">
        <w:rPr>
          <w:sz w:val="28"/>
          <w:szCs w:val="28"/>
        </w:rPr>
        <w:t xml:space="preserve"> изменить и</w:t>
      </w:r>
      <w:r w:rsidR="00101945" w:rsidRPr="00090079">
        <w:rPr>
          <w:sz w:val="28"/>
          <w:szCs w:val="28"/>
        </w:rPr>
        <w:t xml:space="preserve"> изложить в следующей редакции:</w:t>
      </w:r>
    </w:p>
    <w:p w:rsidR="005B0AC6" w:rsidRPr="00090079" w:rsidRDefault="00101945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«32. </w:t>
      </w:r>
      <w:r w:rsidR="004957D0" w:rsidRPr="00090079">
        <w:rPr>
          <w:sz w:val="28"/>
          <w:szCs w:val="28"/>
        </w:rPr>
        <w:t xml:space="preserve">Срок проведения выездной или камеральной проверки может быть продлен не более чем на 10 рабочих дней по решению </w:t>
      </w:r>
      <w:r w:rsidR="005B0AC6" w:rsidRPr="00090079">
        <w:rPr>
          <w:sz w:val="28"/>
          <w:szCs w:val="28"/>
        </w:rPr>
        <w:t>главы поселения (заместителя главы поселения) принятого на основании мотивированного представления</w:t>
      </w:r>
      <w:r w:rsidRPr="00090079">
        <w:rPr>
          <w:sz w:val="28"/>
          <w:szCs w:val="28"/>
        </w:rPr>
        <w:t xml:space="preserve"> руководителя ревизионной группы (проверяющего).</w:t>
      </w:r>
    </w:p>
    <w:p w:rsidR="00101945" w:rsidRPr="00090079" w:rsidRDefault="005B0AC6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090079">
        <w:rPr>
          <w:sz w:val="28"/>
          <w:szCs w:val="28"/>
        </w:rPr>
        <w:t>объекта контроля нарушений законодательства Российской Федерации</w:t>
      </w:r>
      <w:proofErr w:type="gramEnd"/>
      <w:r w:rsidRPr="00090079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</w:t>
      </w:r>
      <w:r w:rsidR="00101945" w:rsidRPr="00090079">
        <w:rPr>
          <w:sz w:val="28"/>
          <w:szCs w:val="28"/>
        </w:rPr>
        <w:t>»;</w:t>
      </w:r>
    </w:p>
    <w:p w:rsidR="00101945" w:rsidRPr="00090079" w:rsidRDefault="005B0AC6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4</w:t>
      </w:r>
      <w:r w:rsidR="00101945" w:rsidRPr="00090079">
        <w:rPr>
          <w:sz w:val="28"/>
          <w:szCs w:val="28"/>
        </w:rPr>
        <w:t xml:space="preserve">) </w:t>
      </w:r>
      <w:r w:rsidRPr="00090079">
        <w:rPr>
          <w:sz w:val="28"/>
          <w:szCs w:val="28"/>
        </w:rPr>
        <w:t xml:space="preserve">пункт 33 </w:t>
      </w:r>
      <w:r w:rsidR="00101945" w:rsidRPr="00090079">
        <w:rPr>
          <w:sz w:val="28"/>
          <w:szCs w:val="28"/>
        </w:rPr>
        <w:t xml:space="preserve"> приложения к постановлению </w:t>
      </w:r>
      <w:r w:rsidR="0051643D" w:rsidRPr="00090079">
        <w:rPr>
          <w:sz w:val="28"/>
          <w:szCs w:val="28"/>
        </w:rPr>
        <w:t xml:space="preserve">изменить и </w:t>
      </w:r>
      <w:r w:rsidR="00101945" w:rsidRPr="00090079">
        <w:rPr>
          <w:sz w:val="28"/>
          <w:szCs w:val="28"/>
        </w:rPr>
        <w:t>изложить в следующей редакции:</w:t>
      </w:r>
    </w:p>
    <w:p w:rsidR="00C93291" w:rsidRPr="00090079" w:rsidRDefault="005B0AC6" w:rsidP="003578E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«33. </w:t>
      </w:r>
      <w:r w:rsidR="00C93291" w:rsidRPr="00090079">
        <w:rPr>
          <w:sz w:val="28"/>
          <w:szCs w:val="28"/>
        </w:rPr>
        <w:t xml:space="preserve">Проведение выездной или камеральной проверки по решению главы поселения (заместителя главы поселения), принятого на основании мотивированного обращения </w:t>
      </w:r>
      <w:r w:rsidR="003578EF" w:rsidRPr="00090079">
        <w:rPr>
          <w:sz w:val="28"/>
          <w:szCs w:val="28"/>
        </w:rPr>
        <w:t>руководителя ревизионной группы (проверяющего)</w:t>
      </w:r>
      <w:r w:rsidR="00C93291" w:rsidRPr="00090079">
        <w:rPr>
          <w:sz w:val="28"/>
          <w:szCs w:val="28"/>
        </w:rPr>
        <w:t>, приостанавливается на общий срок не более 30 ра</w:t>
      </w:r>
      <w:r w:rsidR="003578EF" w:rsidRPr="00090079">
        <w:rPr>
          <w:sz w:val="28"/>
          <w:szCs w:val="28"/>
        </w:rPr>
        <w:t>бочих дней в следующих случаях:</w:t>
      </w:r>
    </w:p>
    <w:p w:rsidR="00C93291" w:rsidRPr="00090079" w:rsidRDefault="00C93291" w:rsidP="003578E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а) на период проведения встречной проверки, но н</w:t>
      </w:r>
      <w:r w:rsidR="003578EF" w:rsidRPr="00090079">
        <w:rPr>
          <w:sz w:val="28"/>
          <w:szCs w:val="28"/>
        </w:rPr>
        <w:t>е более чем на 20 рабочих дней;</w:t>
      </w:r>
    </w:p>
    <w:p w:rsidR="00C93291" w:rsidRPr="00090079" w:rsidRDefault="00C93291" w:rsidP="003578E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б) на период организации и проведения экспертиз, но не более чем на 20 рабочих дне</w:t>
      </w:r>
      <w:r w:rsidR="003578EF" w:rsidRPr="00090079">
        <w:rPr>
          <w:sz w:val="28"/>
          <w:szCs w:val="28"/>
        </w:rPr>
        <w:t>й;</w:t>
      </w:r>
    </w:p>
    <w:p w:rsidR="00C93291" w:rsidRPr="00090079" w:rsidRDefault="00C93291" w:rsidP="003578E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</w:t>
      </w:r>
      <w:r w:rsidR="003578EF" w:rsidRPr="00090079">
        <w:rPr>
          <w:sz w:val="28"/>
          <w:szCs w:val="28"/>
        </w:rPr>
        <w:t>е более чем на 20 рабочих дней;</w:t>
      </w:r>
    </w:p>
    <w:p w:rsidR="00C93291" w:rsidRPr="00090079" w:rsidRDefault="00C93291" w:rsidP="003578E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г) на период, необходимый для представления субъектом контроля документов и информации по повторному запросу</w:t>
      </w:r>
      <w:r w:rsidR="003578EF" w:rsidRPr="00090079">
        <w:rPr>
          <w:sz w:val="28"/>
          <w:szCs w:val="28"/>
        </w:rPr>
        <w:t>, если установлено, что объектом контроля не в полном объеме представлены запрошенные документы и информация</w:t>
      </w:r>
      <w:r w:rsidRPr="00090079">
        <w:rPr>
          <w:sz w:val="28"/>
          <w:szCs w:val="28"/>
        </w:rPr>
        <w:t>, но н</w:t>
      </w:r>
      <w:r w:rsidR="003578EF" w:rsidRPr="00090079">
        <w:rPr>
          <w:sz w:val="28"/>
          <w:szCs w:val="28"/>
        </w:rPr>
        <w:t>е более чем на 10 рабочих дней;</w:t>
      </w:r>
    </w:p>
    <w:p w:rsidR="005B0AC6" w:rsidRPr="00090079" w:rsidRDefault="00C93291" w:rsidP="00C93291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</w:t>
      </w:r>
      <w:bookmarkStart w:id="0" w:name="_GoBack"/>
      <w:bookmarkEnd w:id="0"/>
      <w:r w:rsidRPr="00090079">
        <w:rPr>
          <w:sz w:val="28"/>
          <w:szCs w:val="28"/>
        </w:rPr>
        <w:t>е зависящим от должностного лица Органа контроля (при проведении камеральной проверки одним должностным лицом) либо проверочной группы Органа контроля, включая наступление обстоятельств непреодолимой силы.</w:t>
      </w:r>
    </w:p>
    <w:p w:rsidR="003578EF" w:rsidRPr="00090079" w:rsidRDefault="003578EF" w:rsidP="00C93291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На время приостановления проведения контрольного мероприятия течение его срока прерывается</w:t>
      </w:r>
      <w:r w:rsidR="002C303F" w:rsidRPr="00090079">
        <w:rPr>
          <w:sz w:val="28"/>
          <w:szCs w:val="28"/>
        </w:rPr>
        <w:t>»;</w:t>
      </w:r>
    </w:p>
    <w:p w:rsidR="0051643D" w:rsidRPr="00090079" w:rsidRDefault="0051643D" w:rsidP="0051643D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5)  пункт 34 изменить и изложить в следующей редакции:</w:t>
      </w:r>
    </w:p>
    <w:p w:rsidR="00101945" w:rsidRPr="00090079" w:rsidRDefault="0051643D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«34</w:t>
      </w:r>
      <w:r w:rsidR="00101945" w:rsidRPr="00090079">
        <w:rPr>
          <w:sz w:val="28"/>
          <w:szCs w:val="28"/>
        </w:rPr>
        <w:t xml:space="preserve">. Решение о возобновлении проведения контрольного мероприятия принимается главой поселения (заместителем главы поселения) в течение не более 2 рабочих дней после устранения объектом контроля причин и (или) </w:t>
      </w:r>
      <w:r w:rsidR="00101945" w:rsidRPr="00090079">
        <w:rPr>
          <w:sz w:val="28"/>
          <w:szCs w:val="28"/>
        </w:rPr>
        <w:lastRenderedPageBreak/>
        <w:t>прекращения действия основания приостановления пров</w:t>
      </w:r>
      <w:r w:rsidR="002C303F" w:rsidRPr="00090079">
        <w:rPr>
          <w:sz w:val="28"/>
          <w:szCs w:val="28"/>
        </w:rPr>
        <w:t>едения контрольного мероприятия</w:t>
      </w:r>
      <w:r w:rsidR="00101945" w:rsidRPr="00090079">
        <w:rPr>
          <w:sz w:val="28"/>
          <w:szCs w:val="28"/>
        </w:rPr>
        <w:t xml:space="preserve">»; </w:t>
      </w:r>
    </w:p>
    <w:p w:rsidR="00101945" w:rsidRPr="00090079" w:rsidRDefault="001D350B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6) пункт 45 </w:t>
      </w:r>
      <w:r w:rsidR="00101945" w:rsidRPr="00090079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101945" w:rsidRPr="00090079" w:rsidRDefault="001D350B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«45</w:t>
      </w:r>
      <w:r w:rsidR="00101945" w:rsidRPr="00090079">
        <w:rPr>
          <w:sz w:val="28"/>
          <w:szCs w:val="28"/>
        </w:rPr>
        <w:t>. Объект контроля вправе представить лицу, уполномоченному на осуществление внутреннего муниципального финансового контроля, письменные возраж</w:t>
      </w:r>
      <w:r w:rsidR="00350EB4" w:rsidRPr="00090079">
        <w:rPr>
          <w:sz w:val="28"/>
          <w:szCs w:val="28"/>
        </w:rPr>
        <w:t xml:space="preserve">ения на акт проверки, ревизии в срок не более 10 рабочих дней </w:t>
      </w:r>
      <w:r w:rsidR="00101945" w:rsidRPr="00090079">
        <w:rPr>
          <w:sz w:val="28"/>
          <w:szCs w:val="28"/>
        </w:rPr>
        <w:t>со дня получения такого акта. Письменные возражения объекта контроля прилагаются</w:t>
      </w:r>
      <w:r w:rsidR="002C303F" w:rsidRPr="00090079">
        <w:rPr>
          <w:sz w:val="28"/>
          <w:szCs w:val="28"/>
        </w:rPr>
        <w:t xml:space="preserve"> к материалам проверки, ревизии</w:t>
      </w:r>
      <w:r w:rsidR="00101945" w:rsidRPr="00090079">
        <w:rPr>
          <w:sz w:val="28"/>
          <w:szCs w:val="28"/>
        </w:rPr>
        <w:t>»;</w:t>
      </w:r>
    </w:p>
    <w:p w:rsidR="00101945" w:rsidRPr="00090079" w:rsidRDefault="002D6EB5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7) пункт 66 </w:t>
      </w:r>
      <w:r w:rsidR="00101945" w:rsidRPr="00090079">
        <w:rPr>
          <w:sz w:val="28"/>
          <w:szCs w:val="28"/>
        </w:rPr>
        <w:t>приложения к постановлению</w:t>
      </w:r>
      <w:r w:rsidRPr="00090079">
        <w:rPr>
          <w:sz w:val="28"/>
          <w:szCs w:val="28"/>
        </w:rPr>
        <w:t xml:space="preserve"> изменить и</w:t>
      </w:r>
      <w:r w:rsidR="00101945" w:rsidRPr="00090079">
        <w:rPr>
          <w:sz w:val="28"/>
          <w:szCs w:val="28"/>
        </w:rPr>
        <w:t xml:space="preserve"> изложить в следующей редакции:</w:t>
      </w:r>
    </w:p>
    <w:p w:rsidR="00313BCC" w:rsidRPr="00090079" w:rsidRDefault="00101945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</w:t>
      </w:r>
      <w:r w:rsidR="002D6EB5" w:rsidRPr="00090079">
        <w:rPr>
          <w:sz w:val="28"/>
          <w:szCs w:val="28"/>
        </w:rPr>
        <w:t>66.</w:t>
      </w:r>
      <w:r w:rsidR="00350EB4" w:rsidRPr="00090079">
        <w:rPr>
          <w:sz w:val="28"/>
          <w:szCs w:val="28"/>
        </w:rPr>
        <w:t xml:space="preserve"> </w:t>
      </w:r>
      <w:r w:rsidR="002D6EB5" w:rsidRPr="00090079">
        <w:rPr>
          <w:sz w:val="28"/>
          <w:szCs w:val="28"/>
        </w:rPr>
        <w:t>Срок проведения камеральной проверки не может превышать 20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</w:t>
      </w:r>
      <w:r w:rsidR="002C303F" w:rsidRPr="00090079">
        <w:rPr>
          <w:sz w:val="28"/>
          <w:szCs w:val="28"/>
        </w:rPr>
        <w:t>ого контроля</w:t>
      </w:r>
      <w:r w:rsidR="002D6EB5" w:rsidRPr="00090079">
        <w:rPr>
          <w:sz w:val="28"/>
          <w:szCs w:val="28"/>
        </w:rPr>
        <w:t>»;</w:t>
      </w:r>
    </w:p>
    <w:p w:rsidR="00350EB4" w:rsidRPr="00090079" w:rsidRDefault="00350EB4" w:rsidP="00350EB4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8) пункт 72 приложения к постановлению изменить и изложить в следующей редакции:</w:t>
      </w:r>
    </w:p>
    <w:p w:rsidR="00350EB4" w:rsidRPr="00090079" w:rsidRDefault="002C303F" w:rsidP="002C303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«72</w:t>
      </w:r>
      <w:r w:rsidR="00350EB4" w:rsidRPr="00090079">
        <w:rPr>
          <w:sz w:val="28"/>
          <w:szCs w:val="28"/>
        </w:rPr>
        <w:t xml:space="preserve">. </w:t>
      </w:r>
      <w:r w:rsidRPr="00090079">
        <w:rPr>
          <w:sz w:val="28"/>
          <w:szCs w:val="28"/>
        </w:rPr>
        <w:t>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</w:t>
      </w:r>
      <w:r w:rsidR="00350EB4" w:rsidRPr="00090079">
        <w:rPr>
          <w:sz w:val="28"/>
          <w:szCs w:val="28"/>
        </w:rPr>
        <w:t>»</w:t>
      </w:r>
      <w:r w:rsidRPr="00090079">
        <w:rPr>
          <w:sz w:val="28"/>
          <w:szCs w:val="28"/>
        </w:rPr>
        <w:t>;</w:t>
      </w:r>
    </w:p>
    <w:p w:rsidR="002D6EB5" w:rsidRPr="00090079" w:rsidRDefault="002C303F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9</w:t>
      </w:r>
      <w:r w:rsidR="002D6EB5" w:rsidRPr="00090079">
        <w:rPr>
          <w:sz w:val="28"/>
          <w:szCs w:val="28"/>
        </w:rPr>
        <w:t>) пункт 77 приложения к постановлению изменить и изложить в следующей редакции:</w:t>
      </w:r>
    </w:p>
    <w:p w:rsidR="002D6EB5" w:rsidRPr="00090079" w:rsidRDefault="002D6EB5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«77. </w:t>
      </w:r>
      <w:proofErr w:type="gramStart"/>
      <w:r w:rsidRPr="00090079">
        <w:rPr>
          <w:sz w:val="28"/>
          <w:szCs w:val="28"/>
        </w:rPr>
        <w:t>Срок проведения выездной проверки (ревизии) не может превышать 30 рабочих дней»;</w:t>
      </w:r>
      <w:proofErr w:type="gramEnd"/>
    </w:p>
    <w:p w:rsidR="002D6EB5" w:rsidRPr="00090079" w:rsidRDefault="002C303F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10</w:t>
      </w:r>
      <w:r w:rsidR="00350EB4" w:rsidRPr="00090079">
        <w:rPr>
          <w:sz w:val="28"/>
          <w:szCs w:val="28"/>
        </w:rPr>
        <w:t>) пункт 84 приложения к постановлению изменить и изложить в следующей редакции:</w:t>
      </w:r>
    </w:p>
    <w:p w:rsidR="00350EB4" w:rsidRPr="00090079" w:rsidRDefault="00350EB4" w:rsidP="00101945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«84. Объект контроля вправе представить письменные возражения на акт выездной проверки (ревизии) в срок не более 10 рабочих дней со дня его получения. Письменные возражения объекта контроля прилагаются к материалам выездной проверки (ревизии)».</w:t>
      </w:r>
    </w:p>
    <w:p w:rsidR="00313BCC" w:rsidRPr="00090079" w:rsidRDefault="00313BCC" w:rsidP="00313BCC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 xml:space="preserve">2. Ведущему специалисту администрации Адагумского сельского поселения Крымского района </w:t>
      </w:r>
      <w:proofErr w:type="spellStart"/>
      <w:r w:rsidRPr="00090079">
        <w:rPr>
          <w:sz w:val="28"/>
          <w:szCs w:val="28"/>
        </w:rPr>
        <w:t>Е.Г.Медведевой</w:t>
      </w:r>
      <w:proofErr w:type="spellEnd"/>
      <w:r w:rsidRPr="00090079">
        <w:rPr>
          <w:sz w:val="28"/>
          <w:szCs w:val="28"/>
        </w:rPr>
        <w:t xml:space="preserve"> обнародовать настоящее постановление </w:t>
      </w:r>
      <w:r w:rsidR="002C303F" w:rsidRPr="00090079">
        <w:rPr>
          <w:sz w:val="28"/>
          <w:szCs w:val="28"/>
        </w:rPr>
        <w:t xml:space="preserve">путём размещения на информационных стендах, расположенных на территории Адагумского сельского поселения Крымского района </w:t>
      </w:r>
      <w:r w:rsidRPr="00090079">
        <w:rPr>
          <w:sz w:val="28"/>
          <w:szCs w:val="28"/>
        </w:rPr>
        <w:t>и разместить на официальном сайте администрации Адагумского сельского поселения Кр</w:t>
      </w:r>
      <w:r w:rsidR="002C303F" w:rsidRPr="00090079">
        <w:rPr>
          <w:sz w:val="28"/>
          <w:szCs w:val="28"/>
        </w:rPr>
        <w:t>ымского района в сети Интернет</w:t>
      </w:r>
      <w:r w:rsidRPr="00090079">
        <w:rPr>
          <w:sz w:val="28"/>
          <w:szCs w:val="28"/>
        </w:rPr>
        <w:t>.</w:t>
      </w:r>
    </w:p>
    <w:p w:rsidR="007B4792" w:rsidRPr="00090079" w:rsidRDefault="00313BCC" w:rsidP="00A1352F">
      <w:pPr>
        <w:ind w:firstLine="851"/>
        <w:jc w:val="both"/>
        <w:rPr>
          <w:sz w:val="28"/>
          <w:szCs w:val="28"/>
        </w:rPr>
      </w:pPr>
      <w:r w:rsidRPr="00090079">
        <w:rPr>
          <w:sz w:val="28"/>
          <w:szCs w:val="28"/>
        </w:rPr>
        <w:t>5. </w:t>
      </w:r>
      <w:r w:rsidR="002C303F" w:rsidRPr="0009007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7B4792" w:rsidRPr="00090079" w:rsidRDefault="007B4792" w:rsidP="00A1352F">
      <w:pPr>
        <w:ind w:firstLine="851"/>
        <w:jc w:val="both"/>
        <w:rPr>
          <w:sz w:val="28"/>
          <w:szCs w:val="28"/>
        </w:rPr>
      </w:pPr>
    </w:p>
    <w:p w:rsidR="00A1352F" w:rsidRPr="00090079" w:rsidRDefault="00A1352F" w:rsidP="00A1352F">
      <w:pPr>
        <w:ind w:firstLine="851"/>
        <w:jc w:val="both"/>
        <w:rPr>
          <w:sz w:val="28"/>
          <w:szCs w:val="28"/>
        </w:rPr>
      </w:pPr>
    </w:p>
    <w:p w:rsidR="001B63CC" w:rsidRPr="00090079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0079"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Pr="00090079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0079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7B4792" w:rsidRPr="00090079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0079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</w:t>
      </w:r>
      <w:r w:rsidR="002C303F" w:rsidRPr="00090079">
        <w:rPr>
          <w:rFonts w:eastAsia="Calibri"/>
          <w:sz w:val="28"/>
          <w:szCs w:val="28"/>
          <w:lang w:eastAsia="en-US"/>
        </w:rPr>
        <w:t xml:space="preserve">                              А.В. </w:t>
      </w:r>
      <w:proofErr w:type="spellStart"/>
      <w:r w:rsidR="002C303F" w:rsidRPr="00090079">
        <w:rPr>
          <w:rFonts w:eastAsia="Calibri"/>
          <w:sz w:val="28"/>
          <w:szCs w:val="28"/>
          <w:lang w:eastAsia="en-US"/>
        </w:rPr>
        <w:t>Грицюта</w:t>
      </w:r>
      <w:proofErr w:type="spellEnd"/>
    </w:p>
    <w:sectPr w:rsidR="007B4792" w:rsidRPr="00090079" w:rsidSect="00090079">
      <w:pgSz w:w="11906" w:h="16838"/>
      <w:pgMar w:top="284" w:right="849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85141"/>
    <w:rsid w:val="00090079"/>
    <w:rsid w:val="000D764B"/>
    <w:rsid w:val="000F6DD6"/>
    <w:rsid w:val="00101945"/>
    <w:rsid w:val="001B63CC"/>
    <w:rsid w:val="001D350B"/>
    <w:rsid w:val="002C303F"/>
    <w:rsid w:val="002D5AF7"/>
    <w:rsid w:val="002D6EB5"/>
    <w:rsid w:val="00313BCC"/>
    <w:rsid w:val="00350EB4"/>
    <w:rsid w:val="003578EF"/>
    <w:rsid w:val="004957D0"/>
    <w:rsid w:val="0051643D"/>
    <w:rsid w:val="00541006"/>
    <w:rsid w:val="005B0AC6"/>
    <w:rsid w:val="00602EC4"/>
    <w:rsid w:val="007B4792"/>
    <w:rsid w:val="008B3770"/>
    <w:rsid w:val="008C4050"/>
    <w:rsid w:val="009458D8"/>
    <w:rsid w:val="009567A5"/>
    <w:rsid w:val="009C1F60"/>
    <w:rsid w:val="00A1352F"/>
    <w:rsid w:val="00BC5A37"/>
    <w:rsid w:val="00C93291"/>
    <w:rsid w:val="00DF3A63"/>
    <w:rsid w:val="00F55C7D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  <w:style w:type="paragraph" w:styleId="ab">
    <w:name w:val="Normal (Web)"/>
    <w:basedOn w:val="a"/>
    <w:uiPriority w:val="99"/>
    <w:semiHidden/>
    <w:unhideWhenUsed/>
    <w:rsid w:val="00F679A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67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  <w:style w:type="paragraph" w:styleId="ab">
    <w:name w:val="Normal (Web)"/>
    <w:basedOn w:val="a"/>
    <w:uiPriority w:val="99"/>
    <w:semiHidden/>
    <w:unhideWhenUsed/>
    <w:rsid w:val="00F679A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67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2019-12-23T07:57:00Z</cp:lastPrinted>
  <dcterms:created xsi:type="dcterms:W3CDTF">2018-05-28T11:15:00Z</dcterms:created>
  <dcterms:modified xsi:type="dcterms:W3CDTF">2019-12-23T08:03:00Z</dcterms:modified>
</cp:coreProperties>
</file>