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B" w:rsidRDefault="00A000AB" w:rsidP="00A000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000AB" w:rsidRPr="00807AD7" w:rsidRDefault="00A000AB" w:rsidP="00A000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073C34" wp14:editId="339D760D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AB" w:rsidRPr="00845471" w:rsidRDefault="00A000AB" w:rsidP="00A000AB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A000AB" w:rsidRPr="00893CFB" w:rsidRDefault="00A000AB" w:rsidP="00A000A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A000AB" w:rsidRPr="00893CFB" w:rsidRDefault="00A000AB" w:rsidP="00A000A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A000AB" w:rsidRPr="00893CFB" w:rsidRDefault="00A000AB" w:rsidP="00A000AB">
      <w:pPr>
        <w:jc w:val="center"/>
        <w:rPr>
          <w:sz w:val="28"/>
          <w:szCs w:val="28"/>
        </w:rPr>
      </w:pPr>
    </w:p>
    <w:p w:rsidR="00A000AB" w:rsidRPr="00893CFB" w:rsidRDefault="00A000AB" w:rsidP="00A000AB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A000AB" w:rsidRDefault="00A000AB" w:rsidP="00A000AB">
      <w:pPr>
        <w:rPr>
          <w:sz w:val="28"/>
          <w:szCs w:val="28"/>
        </w:rPr>
      </w:pPr>
    </w:p>
    <w:p w:rsidR="00A000AB" w:rsidRDefault="00A000AB" w:rsidP="00A000AB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24.04.2019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207</w:t>
      </w:r>
    </w:p>
    <w:p w:rsidR="00A000AB" w:rsidRDefault="00A000AB" w:rsidP="00A000AB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A000AB" w:rsidRDefault="00A000AB" w:rsidP="00A000AB">
      <w:pPr>
        <w:tabs>
          <w:tab w:val="left" w:pos="8460"/>
        </w:tabs>
        <w:rPr>
          <w:sz w:val="28"/>
          <w:szCs w:val="28"/>
        </w:rPr>
      </w:pPr>
    </w:p>
    <w:p w:rsidR="00A000AB" w:rsidRPr="00BC5D2E" w:rsidRDefault="00A000AB" w:rsidP="00A000AB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A000AB" w:rsidRPr="00BC5D2E" w:rsidRDefault="00A000AB" w:rsidP="00A000AB">
      <w:pPr>
        <w:jc w:val="center"/>
        <w:rPr>
          <w:sz w:val="28"/>
          <w:szCs w:val="28"/>
        </w:rPr>
      </w:pPr>
    </w:p>
    <w:p w:rsidR="00A000AB" w:rsidRDefault="00A000AB" w:rsidP="00A000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627AD0">
        <w:rPr>
          <w:sz w:val="28"/>
          <w:szCs w:val="28"/>
        </w:rPr>
        <w:t>соответствии</w:t>
      </w:r>
      <w:r w:rsidR="00627AD0" w:rsidRPr="004E07FA">
        <w:rPr>
          <w:sz w:val="28"/>
          <w:szCs w:val="28"/>
        </w:rPr>
        <w:t xml:space="preserve"> с </w:t>
      </w:r>
      <w:r w:rsidR="00627AD0" w:rsidRPr="00AA3265">
        <w:rPr>
          <w:sz w:val="28"/>
          <w:szCs w:val="28"/>
        </w:rPr>
        <w:t xml:space="preserve">Федеральным законом от </w:t>
      </w:r>
      <w:r w:rsidR="00627AD0">
        <w:rPr>
          <w:sz w:val="28"/>
          <w:szCs w:val="28"/>
        </w:rPr>
        <w:t>6</w:t>
      </w:r>
      <w:r w:rsidR="00627AD0" w:rsidRPr="00AA3265">
        <w:rPr>
          <w:sz w:val="28"/>
          <w:szCs w:val="28"/>
        </w:rPr>
        <w:t xml:space="preserve"> </w:t>
      </w:r>
      <w:r w:rsidR="00627AD0">
        <w:rPr>
          <w:sz w:val="28"/>
          <w:szCs w:val="28"/>
        </w:rPr>
        <w:t>октября 2003</w:t>
      </w:r>
      <w:r w:rsidR="00627AD0" w:rsidRPr="00AA3265">
        <w:rPr>
          <w:sz w:val="28"/>
          <w:szCs w:val="28"/>
        </w:rPr>
        <w:t xml:space="preserve"> года № </w:t>
      </w:r>
      <w:r w:rsidR="00627AD0">
        <w:rPr>
          <w:sz w:val="28"/>
          <w:szCs w:val="28"/>
        </w:rPr>
        <w:t>131</w:t>
      </w:r>
      <w:r w:rsidR="00627AD0" w:rsidRPr="00AA3265">
        <w:rPr>
          <w:sz w:val="28"/>
          <w:szCs w:val="28"/>
        </w:rPr>
        <w:t>-ФЗ</w:t>
      </w:r>
      <w:r w:rsidR="00627AD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Pr="00AA3265">
        <w:rPr>
          <w:sz w:val="28"/>
          <w:szCs w:val="28"/>
        </w:rPr>
        <w:t xml:space="preserve">Федеральным законом от </w:t>
      </w:r>
      <w:r w:rsidR="00627AD0">
        <w:rPr>
          <w:sz w:val="28"/>
          <w:szCs w:val="28"/>
        </w:rPr>
        <w:t>30</w:t>
      </w:r>
      <w:r w:rsidRPr="00AA3265">
        <w:rPr>
          <w:sz w:val="28"/>
          <w:szCs w:val="28"/>
        </w:rPr>
        <w:t xml:space="preserve"> </w:t>
      </w:r>
      <w:r w:rsidR="00627AD0">
        <w:rPr>
          <w:sz w:val="28"/>
          <w:szCs w:val="28"/>
        </w:rPr>
        <w:t>сентября 2017</w:t>
      </w:r>
      <w:r w:rsidRPr="00AA3265">
        <w:rPr>
          <w:sz w:val="28"/>
          <w:szCs w:val="28"/>
        </w:rPr>
        <w:t xml:space="preserve"> года № </w:t>
      </w:r>
      <w:r w:rsidR="00627AD0">
        <w:rPr>
          <w:sz w:val="28"/>
          <w:szCs w:val="28"/>
        </w:rPr>
        <w:t>286</w:t>
      </w:r>
      <w:r w:rsidRPr="00AA3265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</w:t>
      </w:r>
      <w:r w:rsidR="00627AD0">
        <w:rPr>
          <w:sz w:val="28"/>
          <w:szCs w:val="28"/>
        </w:rPr>
        <w:t xml:space="preserve">ений в </w:t>
      </w:r>
      <w:r>
        <w:rPr>
          <w:sz w:val="28"/>
          <w:szCs w:val="28"/>
        </w:rPr>
        <w:t>часть вторую Налогового кодекса Российской Федерации</w:t>
      </w:r>
      <w:r w:rsidR="00627AD0">
        <w:rPr>
          <w:sz w:val="28"/>
          <w:szCs w:val="28"/>
        </w:rPr>
        <w:t xml:space="preserve"> и отдельные законодательные акты Российской Федерации</w:t>
      </w:r>
      <w:r w:rsidRPr="00AA3265">
        <w:rPr>
          <w:sz w:val="28"/>
          <w:szCs w:val="28"/>
        </w:rPr>
        <w:t>»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AD0">
        <w:rPr>
          <w:sz w:val="28"/>
          <w:szCs w:val="28"/>
        </w:rPr>
        <w:t>Законом Краснодарского края от 4 апреля 2016 года № 3368-КЗ «Об установлении</w:t>
      </w:r>
      <w:r w:rsidR="00D96ED5">
        <w:rPr>
          <w:sz w:val="28"/>
          <w:szCs w:val="28"/>
        </w:rPr>
        <w:t xml:space="preserve">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4E07FA">
        <w:rPr>
          <w:sz w:val="28"/>
          <w:szCs w:val="28"/>
        </w:rPr>
        <w:t>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A000AB" w:rsidRDefault="00A000AB" w:rsidP="00A000AB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D96ED5" w:rsidRDefault="00D96ED5" w:rsidP="00D96ED5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изложить в следующей редакции:</w:t>
      </w:r>
    </w:p>
    <w:p w:rsidR="0052384F" w:rsidRDefault="00D96ED5" w:rsidP="0052384F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Установить налоговые ставки </w:t>
      </w:r>
      <w:proofErr w:type="gramStart"/>
      <w:r>
        <w:rPr>
          <w:rFonts w:ascii="Times New Roman" w:hAnsi="Times New Roman"/>
          <w:sz w:val="28"/>
          <w:szCs w:val="28"/>
        </w:rPr>
        <w:t>налога</w:t>
      </w:r>
      <w:proofErr w:type="gramEnd"/>
      <w:r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21"/>
        <w:gridCol w:w="7116"/>
      </w:tblGrid>
      <w:tr w:rsidR="00BA460E" w:rsidTr="00BA460E">
        <w:trPr>
          <w:trHeight w:val="397"/>
        </w:trPr>
        <w:tc>
          <w:tcPr>
            <w:tcW w:w="534" w:type="dxa"/>
          </w:tcPr>
          <w:p w:rsidR="00BA460E" w:rsidRDefault="00BA460E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vAlign w:val="center"/>
          </w:tcPr>
          <w:p w:rsidR="00BA460E" w:rsidRDefault="00BA460E" w:rsidP="00BA460E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7116" w:type="dxa"/>
            <w:vAlign w:val="center"/>
          </w:tcPr>
          <w:p w:rsidR="00BA460E" w:rsidRDefault="00BA460E" w:rsidP="00BA460E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</w:tr>
      <w:tr w:rsidR="0052384F" w:rsidTr="00C40272">
        <w:trPr>
          <w:trHeight w:val="397"/>
        </w:trPr>
        <w:tc>
          <w:tcPr>
            <w:tcW w:w="534" w:type="dxa"/>
            <w:vMerge w:val="restart"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vMerge w:val="restart"/>
          </w:tcPr>
          <w:p w:rsidR="0052384F" w:rsidRDefault="0052384F" w:rsidP="00C40272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116" w:type="dxa"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жилые дома, части жилых домов, жилые помещения (квартиры, комнаты), части квартир;</w:t>
            </w:r>
          </w:p>
        </w:tc>
      </w:tr>
      <w:tr w:rsidR="0052384F" w:rsidTr="00BA460E">
        <w:trPr>
          <w:trHeight w:val="397"/>
        </w:trPr>
        <w:tc>
          <w:tcPr>
            <w:tcW w:w="534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52384F" w:rsidTr="003D1E48">
        <w:trPr>
          <w:trHeight w:val="397"/>
        </w:trPr>
        <w:tc>
          <w:tcPr>
            <w:tcW w:w="534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</w:tr>
      <w:tr w:rsidR="0052384F" w:rsidTr="003D1E48">
        <w:trPr>
          <w:trHeight w:val="397"/>
        </w:trPr>
        <w:tc>
          <w:tcPr>
            <w:tcW w:w="534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подпунктах 2 и 3 настоящего пункта;</w:t>
            </w:r>
          </w:p>
        </w:tc>
      </w:tr>
      <w:tr w:rsidR="0052384F" w:rsidTr="003D1E48">
        <w:trPr>
          <w:trHeight w:val="397"/>
        </w:trPr>
        <w:tc>
          <w:tcPr>
            <w:tcW w:w="534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Pr="00C40272" w:rsidRDefault="0052384F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0272">
                <w:rPr>
                  <w:rFonts w:ascii="Times New Roman" w:hAnsi="Times New Roman"/>
                  <w:sz w:val="28"/>
                  <w:szCs w:val="28"/>
                  <w:lang w:eastAsia="en-US"/>
                </w:rPr>
                <w:t>50 кв. м</w:t>
              </w:r>
            </w:smartTag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</w:tr>
      <w:tr w:rsidR="00C40272" w:rsidTr="00C40272">
        <w:trPr>
          <w:trHeight w:val="397"/>
        </w:trPr>
        <w:tc>
          <w:tcPr>
            <w:tcW w:w="534" w:type="dxa"/>
            <w:vMerge w:val="restart"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vMerge w:val="restart"/>
          </w:tcPr>
          <w:p w:rsidR="00C40272" w:rsidRDefault="00C40272" w:rsidP="00C40272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116" w:type="dxa"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</w:tr>
      <w:tr w:rsidR="00C40272" w:rsidTr="00BA460E">
        <w:tc>
          <w:tcPr>
            <w:tcW w:w="534" w:type="dxa"/>
            <w:vMerge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C40272" w:rsidRP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</w:tc>
      </w:tr>
      <w:tr w:rsidR="00C40272" w:rsidTr="00C40272">
        <w:tc>
          <w:tcPr>
            <w:tcW w:w="534" w:type="dxa"/>
            <w:vMerge w:val="restart"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  <w:vMerge w:val="restart"/>
          </w:tcPr>
          <w:p w:rsidR="00C40272" w:rsidRDefault="00C40272" w:rsidP="00C40272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16" w:type="dxa"/>
          </w:tcPr>
          <w:p w:rsidR="00C40272" w:rsidRP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объекты налогообложения, включенные в перечень, определяемый в соответствии с </w:t>
            </w:r>
            <w:hyperlink r:id="rId9" w:history="1"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0" w:history="1">
              <w:proofErr w:type="spellStart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C40272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C40272">
              <w:rPr>
                <w:rFonts w:ascii="Times New Roman" w:hAnsi="Times New Roman"/>
                <w:sz w:val="28"/>
                <w:szCs w:val="28"/>
              </w:rPr>
              <w:t xml:space="preserve">Офисы, объекты торговли, общественного питания, бытового обслуживания) с кадастровой стоимостью свыше 3 000 000 рублей;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272" w:rsidTr="00BA460E">
        <w:tc>
          <w:tcPr>
            <w:tcW w:w="534" w:type="dxa"/>
            <w:vMerge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C40272" w:rsidRPr="00C40272" w:rsidRDefault="00C40272" w:rsidP="00D96ED5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прочие.</w:t>
            </w:r>
          </w:p>
        </w:tc>
      </w:tr>
    </w:tbl>
    <w:p w:rsidR="00BA460E" w:rsidRDefault="00794434" w:rsidP="00D96ED5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Р</w:t>
      </w:r>
      <w:r w:rsidR="00C40272">
        <w:rPr>
          <w:rFonts w:ascii="Times New Roman" w:hAnsi="Times New Roman"/>
          <w:sz w:val="28"/>
          <w:szCs w:val="28"/>
        </w:rPr>
        <w:t>ешение пунктом 2.1 следующего содержания:</w:t>
      </w:r>
    </w:p>
    <w:p w:rsidR="00C40272" w:rsidRDefault="00C40272" w:rsidP="00C40272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Установить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21"/>
        <w:gridCol w:w="7116"/>
      </w:tblGrid>
      <w:tr w:rsidR="00C40272" w:rsidTr="009139BC">
        <w:trPr>
          <w:trHeight w:val="397"/>
        </w:trPr>
        <w:tc>
          <w:tcPr>
            <w:tcW w:w="534" w:type="dxa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vAlign w:val="center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7116" w:type="dxa"/>
            <w:vAlign w:val="center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 w:val="restart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vMerge w:val="restart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116" w:type="dxa"/>
          </w:tcPr>
          <w:p w:rsidR="0052384F" w:rsidRDefault="0052384F" w:rsidP="00794434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жилые дома, части жилых домов, квартиры, части квартир, комнаты;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подпунктах 2 и 3 настоящего пункта;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Pr="00C40272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0272">
                <w:rPr>
                  <w:rFonts w:ascii="Times New Roman" w:hAnsi="Times New Roman"/>
                  <w:sz w:val="28"/>
                  <w:szCs w:val="28"/>
                  <w:lang w:eastAsia="en-US"/>
                </w:rPr>
                <w:t>50 кв. м</w:t>
              </w:r>
            </w:smartTag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</w:tr>
      <w:tr w:rsidR="00C40272" w:rsidTr="009139BC">
        <w:trPr>
          <w:trHeight w:val="397"/>
        </w:trPr>
        <w:tc>
          <w:tcPr>
            <w:tcW w:w="534" w:type="dxa"/>
            <w:vMerge w:val="restart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vMerge w:val="restart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116" w:type="dxa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1" w:history="1"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2" w:history="1">
              <w:proofErr w:type="spellStart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</w:tr>
      <w:tr w:rsidR="00C40272" w:rsidTr="009139BC">
        <w:tc>
          <w:tcPr>
            <w:tcW w:w="534" w:type="dxa"/>
            <w:vMerge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C40272" w:rsidRP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</w:tc>
      </w:tr>
      <w:tr w:rsidR="00C40272" w:rsidTr="009139BC">
        <w:tc>
          <w:tcPr>
            <w:tcW w:w="534" w:type="dxa"/>
            <w:vMerge w:val="restart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  <w:vMerge w:val="restart"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16" w:type="dxa"/>
          </w:tcPr>
          <w:p w:rsidR="00C40272" w:rsidRP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объекты налогообложения, включенные в перечень, определяемый в соответствии с </w:t>
            </w:r>
            <w:hyperlink r:id="rId13" w:history="1"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4" w:history="1">
              <w:proofErr w:type="spellStart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C40272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C40272">
              <w:rPr>
                <w:rFonts w:ascii="Times New Roman" w:hAnsi="Times New Roman"/>
                <w:sz w:val="28"/>
                <w:szCs w:val="28"/>
              </w:rPr>
              <w:t xml:space="preserve">Офисы, объекты торговли, общественного питания, бытового обслуживания) с кадастровой стоимостью свыше 3 000 000 рублей;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272" w:rsidTr="009139BC">
        <w:tc>
          <w:tcPr>
            <w:tcW w:w="534" w:type="dxa"/>
            <w:vMerge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C40272" w:rsidRPr="00C40272" w:rsidRDefault="00C40272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прочие.</w:t>
            </w:r>
          </w:p>
        </w:tc>
      </w:tr>
    </w:tbl>
    <w:p w:rsidR="00794434" w:rsidRDefault="00794434" w:rsidP="00D96ED5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Решение пунктом 2.2 следующего содержания:</w:t>
      </w:r>
    </w:p>
    <w:p w:rsidR="00794434" w:rsidRDefault="0052384F" w:rsidP="00794434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="00794434">
        <w:rPr>
          <w:rFonts w:ascii="Times New Roman" w:hAnsi="Times New Roman"/>
          <w:sz w:val="28"/>
          <w:szCs w:val="28"/>
        </w:rPr>
        <w:t xml:space="preserve">Установить налоговые ставки </w:t>
      </w:r>
      <w:proofErr w:type="gramStart"/>
      <w:r w:rsidR="00794434">
        <w:rPr>
          <w:rFonts w:ascii="Times New Roman" w:hAnsi="Times New Roman"/>
          <w:sz w:val="28"/>
          <w:szCs w:val="28"/>
        </w:rPr>
        <w:t>налога</w:t>
      </w:r>
      <w:proofErr w:type="gramEnd"/>
      <w:r w:rsidR="00794434"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21"/>
        <w:gridCol w:w="7116"/>
      </w:tblGrid>
      <w:tr w:rsidR="00794434" w:rsidTr="009139BC">
        <w:trPr>
          <w:trHeight w:val="397"/>
        </w:trPr>
        <w:tc>
          <w:tcPr>
            <w:tcW w:w="534" w:type="dxa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vAlign w:val="center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ставка, %</w:t>
            </w:r>
          </w:p>
        </w:tc>
        <w:tc>
          <w:tcPr>
            <w:tcW w:w="7116" w:type="dxa"/>
            <w:vAlign w:val="center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</w:tr>
      <w:tr w:rsidR="005703D1" w:rsidTr="009139BC">
        <w:trPr>
          <w:trHeight w:val="397"/>
        </w:trPr>
        <w:tc>
          <w:tcPr>
            <w:tcW w:w="534" w:type="dxa"/>
            <w:vMerge w:val="restart"/>
          </w:tcPr>
          <w:p w:rsidR="005703D1" w:rsidRDefault="005703D1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vMerge w:val="restart"/>
          </w:tcPr>
          <w:p w:rsidR="005703D1" w:rsidRDefault="005703D1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116" w:type="dxa"/>
          </w:tcPr>
          <w:p w:rsidR="005703D1" w:rsidRDefault="005703D1" w:rsidP="00C776B9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жилые дома, части жилых домов, квартиры, части квартир, комнаты;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подпунктах 2 и 3 настоящего пункта;</w:t>
            </w:r>
          </w:p>
        </w:tc>
      </w:tr>
      <w:tr w:rsidR="0052384F" w:rsidTr="009139BC">
        <w:trPr>
          <w:trHeight w:val="397"/>
        </w:trPr>
        <w:tc>
          <w:tcPr>
            <w:tcW w:w="534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52384F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52384F" w:rsidRPr="00C40272" w:rsidRDefault="0052384F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0272">
                <w:rPr>
                  <w:rFonts w:ascii="Times New Roman" w:hAnsi="Times New Roman"/>
                  <w:sz w:val="28"/>
                  <w:szCs w:val="28"/>
                  <w:lang w:eastAsia="en-US"/>
                </w:rPr>
                <w:t>50 кв. м</w:t>
              </w:r>
            </w:smartTag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жилищного строительства.</w:t>
            </w:r>
          </w:p>
        </w:tc>
      </w:tr>
      <w:tr w:rsidR="00794434" w:rsidTr="009139BC">
        <w:trPr>
          <w:trHeight w:val="397"/>
        </w:trPr>
        <w:tc>
          <w:tcPr>
            <w:tcW w:w="534" w:type="dxa"/>
            <w:vMerge w:val="restart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1" w:type="dxa"/>
            <w:vMerge w:val="restart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116" w:type="dxa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5" w:history="1"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6" w:history="1">
              <w:proofErr w:type="spellStart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</w:tr>
      <w:tr w:rsidR="00794434" w:rsidTr="009139BC">
        <w:tc>
          <w:tcPr>
            <w:tcW w:w="534" w:type="dxa"/>
            <w:vMerge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794434" w:rsidRPr="00C40272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</w:tc>
      </w:tr>
      <w:tr w:rsidR="00794434" w:rsidTr="009139BC">
        <w:tc>
          <w:tcPr>
            <w:tcW w:w="534" w:type="dxa"/>
            <w:vMerge w:val="restart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  <w:vMerge w:val="restart"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16" w:type="dxa"/>
          </w:tcPr>
          <w:p w:rsidR="00794434" w:rsidRPr="00C40272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объекты налогообложения, включенные в перечень, определяемый в соответствии с </w:t>
            </w:r>
            <w:hyperlink r:id="rId17" w:history="1"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8" w:history="1">
              <w:proofErr w:type="spellStart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C40272">
                <w:rPr>
                  <w:rStyle w:val="a8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C40272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C40272">
              <w:rPr>
                <w:rFonts w:ascii="Times New Roman" w:hAnsi="Times New Roman"/>
                <w:sz w:val="28"/>
                <w:szCs w:val="28"/>
              </w:rPr>
              <w:t xml:space="preserve">Офисы, объекты торговли, общественного питания, бытового обслуживания) с кадастровой стоимостью свыше 3 000 000 рублей;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4434" w:rsidTr="009139BC">
        <w:tc>
          <w:tcPr>
            <w:tcW w:w="534" w:type="dxa"/>
            <w:vMerge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794434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794434" w:rsidRPr="00C40272" w:rsidRDefault="00794434" w:rsidP="009139BC">
            <w:pPr>
              <w:pStyle w:val="a3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прочие.</w:t>
            </w:r>
          </w:p>
        </w:tc>
      </w:tr>
    </w:tbl>
    <w:p w:rsidR="00C40272" w:rsidRDefault="00794434" w:rsidP="00D96ED5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0272">
        <w:rPr>
          <w:rFonts w:ascii="Times New Roman" w:hAnsi="Times New Roman"/>
          <w:sz w:val="28"/>
          <w:szCs w:val="28"/>
        </w:rPr>
        <w:t xml:space="preserve"> </w:t>
      </w:r>
    </w:p>
    <w:p w:rsidR="00FC40D5" w:rsidRDefault="00A000AB" w:rsidP="00A000A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40D5">
        <w:rPr>
          <w:sz w:val="28"/>
          <w:szCs w:val="28"/>
        </w:rPr>
        <w:t xml:space="preserve"> Признать утратившими силу:</w:t>
      </w:r>
      <w:r>
        <w:rPr>
          <w:sz w:val="28"/>
          <w:szCs w:val="28"/>
        </w:rPr>
        <w:t xml:space="preserve"> </w:t>
      </w:r>
    </w:p>
    <w:p w:rsidR="00FC40D5" w:rsidRPr="00E770D1" w:rsidRDefault="00FC40D5" w:rsidP="00FC40D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  <w:r w:rsidRPr="002F3CAE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13 сентября 2018 </w:t>
      </w:r>
      <w:r w:rsidRPr="002F3CAE">
        <w:rPr>
          <w:sz w:val="28"/>
          <w:szCs w:val="28"/>
        </w:rPr>
        <w:t>г. «</w:t>
      </w:r>
      <w:r w:rsidRPr="005F4B15">
        <w:rPr>
          <w:sz w:val="28"/>
          <w:szCs w:val="28"/>
        </w:rPr>
        <w:t>О внесении изменений в решение Совета Адагумского сельского поселения Крымского района от 31 октября 2016 года №90 «Об установлении налога на имущество физических лиц на территории Адагумского сельского поселения Крымского района»</w:t>
      </w:r>
      <w:r w:rsidRPr="00B513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3CAE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утратившим силу;</w:t>
      </w:r>
    </w:p>
    <w:p w:rsidR="00FC40D5" w:rsidRPr="00E770D1" w:rsidRDefault="00FC40D5" w:rsidP="00FC40D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182</w:t>
      </w:r>
      <w:r w:rsidRPr="002F3CAE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22 ноября 2018 </w:t>
      </w:r>
      <w:r w:rsidRPr="002F3CAE">
        <w:rPr>
          <w:sz w:val="28"/>
          <w:szCs w:val="28"/>
        </w:rPr>
        <w:t>г. «</w:t>
      </w:r>
      <w:r w:rsidRPr="005F4B15">
        <w:rPr>
          <w:sz w:val="28"/>
          <w:szCs w:val="28"/>
        </w:rPr>
        <w:t>О внесении изменений в решение Совета Адагумского сельского поселения Крымского района от 31 октября 2016 года №90 «Об установлении налога на имущество физических лиц на территории Адагумского сельского поселения Крымского района»</w:t>
      </w:r>
      <w:r w:rsidRPr="00B513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3CAE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утратившим силу;</w:t>
      </w:r>
    </w:p>
    <w:p w:rsidR="00A000AB" w:rsidRDefault="00FC40D5" w:rsidP="00FC40D5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0AB">
        <w:rPr>
          <w:sz w:val="28"/>
          <w:szCs w:val="28"/>
        </w:rPr>
        <w:t>Решение Совета Адагумского</w:t>
      </w:r>
      <w:r w:rsidR="00A000AB" w:rsidRPr="002F3CAE">
        <w:rPr>
          <w:sz w:val="28"/>
          <w:szCs w:val="28"/>
        </w:rPr>
        <w:t xml:space="preserve"> сельс</w:t>
      </w:r>
      <w:r w:rsidR="00A000AB">
        <w:rPr>
          <w:sz w:val="28"/>
          <w:szCs w:val="28"/>
        </w:rPr>
        <w:t xml:space="preserve">кого поселения Крымского района  </w:t>
      </w:r>
      <w:r w:rsidR="00A000AB" w:rsidRPr="002F3CAE">
        <w:rPr>
          <w:sz w:val="28"/>
          <w:szCs w:val="28"/>
        </w:rPr>
        <w:t xml:space="preserve">№ </w:t>
      </w:r>
      <w:r w:rsidR="00A000AB">
        <w:rPr>
          <w:sz w:val="28"/>
          <w:szCs w:val="28"/>
        </w:rPr>
        <w:t>199</w:t>
      </w:r>
      <w:r w:rsidR="00A000AB" w:rsidRPr="002F3CAE">
        <w:rPr>
          <w:sz w:val="28"/>
          <w:szCs w:val="28"/>
        </w:rPr>
        <w:t xml:space="preserve">  от </w:t>
      </w:r>
      <w:r w:rsidR="00A000AB">
        <w:rPr>
          <w:sz w:val="28"/>
          <w:szCs w:val="28"/>
        </w:rPr>
        <w:t xml:space="preserve">7 февраля 2019 </w:t>
      </w:r>
      <w:r w:rsidR="00A000AB" w:rsidRPr="002F3CAE">
        <w:rPr>
          <w:sz w:val="28"/>
          <w:szCs w:val="28"/>
        </w:rPr>
        <w:t>г. «</w:t>
      </w:r>
      <w:r w:rsidR="00A000AB" w:rsidRPr="005F4B15">
        <w:rPr>
          <w:sz w:val="28"/>
          <w:szCs w:val="28"/>
        </w:rPr>
        <w:t>О внесении изменений в решение Совета Адагумского сельского поселения Крымского района от 31 октября 2016 года №90 «Об установлении налога на имущество физических лиц на территории Адагумского сельского поселения Крымского района»</w:t>
      </w:r>
      <w:r w:rsidR="00A000AB" w:rsidRPr="00B5134D">
        <w:rPr>
          <w:sz w:val="28"/>
          <w:szCs w:val="28"/>
        </w:rPr>
        <w:t xml:space="preserve"> </w:t>
      </w:r>
      <w:r w:rsidR="00A000AB">
        <w:rPr>
          <w:sz w:val="28"/>
          <w:szCs w:val="28"/>
        </w:rPr>
        <w:t>п</w:t>
      </w:r>
      <w:r w:rsidR="00A000AB" w:rsidRPr="002F3CAE">
        <w:rPr>
          <w:sz w:val="28"/>
          <w:szCs w:val="28"/>
        </w:rPr>
        <w:t>ризнать</w:t>
      </w:r>
      <w:r w:rsidR="00A000AB">
        <w:rPr>
          <w:sz w:val="28"/>
          <w:szCs w:val="28"/>
        </w:rPr>
        <w:t xml:space="preserve"> утратившим силу.</w:t>
      </w:r>
    </w:p>
    <w:p w:rsidR="00FC40D5" w:rsidRPr="00E770D1" w:rsidRDefault="00FC40D5" w:rsidP="00FC40D5">
      <w:pPr>
        <w:shd w:val="clear" w:color="auto" w:fill="FFFFFF"/>
        <w:spacing w:line="29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Копию настоящего решения направить в Межрайонную инспекцию Федеральной налоговой службы России № 17 по Краснодарскому краю для руководства в работе.</w:t>
      </w:r>
    </w:p>
    <w:p w:rsidR="00A000AB" w:rsidRPr="00893CFB" w:rsidRDefault="00FC40D5" w:rsidP="00A000A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000A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A000AB">
        <w:rPr>
          <w:sz w:val="28"/>
          <w:szCs w:val="28"/>
        </w:rPr>
        <w:t>публиковать н</w:t>
      </w:r>
      <w:r w:rsidR="00A000AB" w:rsidRPr="00893CFB">
        <w:rPr>
          <w:sz w:val="28"/>
          <w:szCs w:val="28"/>
        </w:rPr>
        <w:t>астоящее решение</w:t>
      </w:r>
      <w:r w:rsidR="00A000AB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«Призыв»</w:t>
      </w:r>
      <w:r w:rsidR="00A000AB">
        <w:rPr>
          <w:sz w:val="28"/>
          <w:szCs w:val="28"/>
        </w:rPr>
        <w:t xml:space="preserve"> и разместить на официальном сайте </w:t>
      </w:r>
      <w:r w:rsidR="00A000AB" w:rsidRPr="0057600E">
        <w:rPr>
          <w:sz w:val="28"/>
          <w:szCs w:val="28"/>
        </w:rPr>
        <w:t xml:space="preserve">администрации Адагумского сельского поселения </w:t>
      </w:r>
      <w:r w:rsidR="00A000AB" w:rsidRPr="0057600E">
        <w:rPr>
          <w:sz w:val="28"/>
          <w:szCs w:val="28"/>
        </w:rPr>
        <w:lastRenderedPageBreak/>
        <w:t>Крымского района в информационно-телекоммуникационной сети «Интернет».</w:t>
      </w:r>
    </w:p>
    <w:p w:rsidR="00A000AB" w:rsidRDefault="00FC40D5" w:rsidP="00A000AB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A000AB" w:rsidRPr="00601D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1.1 пункта 1 настоящего решения вступает в силу со дня его официального опубликования и распространяется</w:t>
      </w:r>
      <w:r w:rsidR="00C301D1">
        <w:rPr>
          <w:rFonts w:ascii="Times New Roman" w:hAnsi="Times New Roman"/>
          <w:sz w:val="28"/>
          <w:szCs w:val="28"/>
        </w:rPr>
        <w:t xml:space="preserve"> на правоотношения, связанные с исчислением налога на имущество физических лиц с 1 января 2017 года по 31 декабря 2017 года.</w:t>
      </w:r>
    </w:p>
    <w:p w:rsidR="00A000AB" w:rsidRDefault="00C301D1" w:rsidP="00A000AB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A000A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Подпункт 1.2 пункта 1 настоящего решения вступает в силу со дня его официального опубликования и распространяется на правоотношения, </w:t>
      </w:r>
      <w:r w:rsidR="00A000AB">
        <w:rPr>
          <w:rFonts w:ascii="Times New Roman" w:hAnsi="Times New Roman"/>
          <w:sz w:val="28"/>
          <w:szCs w:val="28"/>
          <w:shd w:val="clear" w:color="auto" w:fill="FFFFFF"/>
        </w:rPr>
        <w:t>возникшие с 1 января 2018</w:t>
      </w:r>
      <w:r w:rsidR="00A000AB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A000AB" w:rsidRDefault="00C301D1" w:rsidP="00A000AB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A000A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1.3 пункта 1 настоящего решения вступает в силу с 1 января 2019 года, но не ранее чем по истечении одного месяца со дня его официального опубликования</w:t>
      </w:r>
      <w:r w:rsidR="00A000AB" w:rsidRPr="00601D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01D1" w:rsidRPr="002F5E99" w:rsidRDefault="00C301D1" w:rsidP="00A000AB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Пункты 2-4 настоящего решения вступают в силу со дня его официального опубликования.</w:t>
      </w:r>
    </w:p>
    <w:p w:rsidR="00A000AB" w:rsidRDefault="00A000AB" w:rsidP="00A000A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A000AB" w:rsidRDefault="00A000AB" w:rsidP="00A000A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000AB" w:rsidRDefault="00A000AB" w:rsidP="00A000A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000AB" w:rsidRDefault="00A000AB" w:rsidP="00A000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p w:rsidR="0052384F" w:rsidRDefault="0052384F" w:rsidP="00A000AB">
      <w:pPr>
        <w:rPr>
          <w:color w:val="000000"/>
          <w:sz w:val="28"/>
          <w:szCs w:val="28"/>
        </w:rPr>
      </w:pPr>
    </w:p>
    <w:p w:rsidR="0052384F" w:rsidRDefault="0052384F" w:rsidP="00A000AB">
      <w:pPr>
        <w:rPr>
          <w:color w:val="000000"/>
          <w:sz w:val="28"/>
          <w:szCs w:val="28"/>
        </w:rPr>
      </w:pPr>
    </w:p>
    <w:p w:rsidR="0052384F" w:rsidRDefault="0052384F" w:rsidP="00A000AB">
      <w:pPr>
        <w:rPr>
          <w:color w:val="000000"/>
          <w:sz w:val="28"/>
          <w:szCs w:val="28"/>
        </w:rPr>
      </w:pPr>
    </w:p>
    <w:p w:rsidR="0052384F" w:rsidRDefault="0052384F" w:rsidP="00A000AB">
      <w:pPr>
        <w:rPr>
          <w:color w:val="000000"/>
          <w:sz w:val="28"/>
          <w:szCs w:val="28"/>
        </w:rPr>
      </w:pPr>
    </w:p>
    <w:p w:rsidR="0052384F" w:rsidRDefault="0052384F" w:rsidP="00A000AB"/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EC"/>
    <w:rsid w:val="0010238A"/>
    <w:rsid w:val="0052384F"/>
    <w:rsid w:val="005703D1"/>
    <w:rsid w:val="00627AD0"/>
    <w:rsid w:val="00794434"/>
    <w:rsid w:val="008C23B6"/>
    <w:rsid w:val="00A000AB"/>
    <w:rsid w:val="00B62FD0"/>
    <w:rsid w:val="00BA460E"/>
    <w:rsid w:val="00C301D1"/>
    <w:rsid w:val="00C40272"/>
    <w:rsid w:val="00C94DE2"/>
    <w:rsid w:val="00D96ED5"/>
    <w:rsid w:val="00DC5DEC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000A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000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40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000A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000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40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13" Type="http://schemas.openxmlformats.org/officeDocument/2006/relationships/hyperlink" Target="garantF1://10800200.37827" TargetMode="External"/><Relationship Id="rId18" Type="http://schemas.openxmlformats.org/officeDocument/2006/relationships/hyperlink" Target="garantF1://10800200.3782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37827" TargetMode="External"/><Relationship Id="rId12" Type="http://schemas.openxmlformats.org/officeDocument/2006/relationships/hyperlink" Target="garantF1://10800200.3782102" TargetMode="External"/><Relationship Id="rId17" Type="http://schemas.openxmlformats.org/officeDocument/2006/relationships/hyperlink" Target="garantF1://10800200.3782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800200.37821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800200.37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37827" TargetMode="External"/><Relationship Id="rId10" Type="http://schemas.openxmlformats.org/officeDocument/2006/relationships/hyperlink" Target="garantF1://10800200.37821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37827" TargetMode="External"/><Relationship Id="rId14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0B65-B9E7-414F-8C64-F7516B67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2019-05-08T08:25:00Z</dcterms:created>
  <dcterms:modified xsi:type="dcterms:W3CDTF">2019-05-16T08:15:00Z</dcterms:modified>
</cp:coreProperties>
</file>