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DA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9EDDC" wp14:editId="20C7097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46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6046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280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>няемым законом ценностям на 2023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2023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6046A9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6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02</w:t>
      </w:r>
      <w:r w:rsidR="001F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046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280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2023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1F47CF">
        <w:rPr>
          <w:szCs w:val="28"/>
        </w:rPr>
        <w:t>В 2022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1F47CF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2022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1F47CF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2023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584CA2"/>
    <w:rsid w:val="006046A9"/>
    <w:rsid w:val="00870A2E"/>
    <w:rsid w:val="00926BC8"/>
    <w:rsid w:val="00985049"/>
    <w:rsid w:val="00B11057"/>
    <w:rsid w:val="00C67BC5"/>
    <w:rsid w:val="00D457DF"/>
    <w:rsid w:val="00DA0E5D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2021-12-29T08:50:00Z</dcterms:created>
  <dcterms:modified xsi:type="dcterms:W3CDTF">2022-12-02T10:17:00Z</dcterms:modified>
</cp:coreProperties>
</file>