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0"/>
        <w:gridCol w:w="7425"/>
      </w:tblGrid>
      <w:tr w:rsidR="000A0655" w:rsidRPr="000A0655" w:rsidTr="000A0655">
        <w:tc>
          <w:tcPr>
            <w:tcW w:w="7360" w:type="dxa"/>
          </w:tcPr>
          <w:p w:rsidR="000A0655" w:rsidRPr="000A0655" w:rsidRDefault="000A0655" w:rsidP="000A0655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</w:p>
        </w:tc>
        <w:tc>
          <w:tcPr>
            <w:tcW w:w="7425" w:type="dxa"/>
          </w:tcPr>
          <w:p w:rsidR="000A0655" w:rsidRPr="000A0655" w:rsidRDefault="000A0655" w:rsidP="000A0655">
            <w:pPr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Приложение № 1</w:t>
            </w:r>
          </w:p>
          <w:p w:rsidR="000A0655" w:rsidRPr="000A0655" w:rsidRDefault="000A0655" w:rsidP="000A0655">
            <w:pPr>
              <w:rPr>
                <w:rFonts w:ascii="Times New Roman" w:eastAsia="Times New Roman" w:hAnsi="Times New Roman" w:cs="Times New Roman"/>
                <w:b/>
                <w:sz w:val="27"/>
                <w:szCs w:val="27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7"/>
                <w:szCs w:val="27"/>
                <w:lang w:eastAsia="ru-RU"/>
              </w:rPr>
              <w:t>к Положению о мониторинге качестве финансового менеджмента главных распорядителей средств местного бюджета, главных администраторов доходов (источников финансировании дефицита) местного бюджета</w:t>
            </w:r>
          </w:p>
        </w:tc>
      </w:tr>
    </w:tbl>
    <w:p w:rsidR="000A0655" w:rsidRPr="000A0655" w:rsidRDefault="000A0655" w:rsidP="000A0655">
      <w:pPr>
        <w:spacing w:after="0" w:line="240" w:lineRule="auto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0A0655" w:rsidRPr="000A0655" w:rsidRDefault="000A0655" w:rsidP="000A0655">
      <w:pPr>
        <w:widowControl w:val="0"/>
        <w:autoSpaceDE w:val="0"/>
        <w:autoSpaceDN w:val="0"/>
        <w:adjustRightInd w:val="0"/>
        <w:spacing w:before="108" w:after="108" w:line="240" w:lineRule="auto"/>
        <w:jc w:val="center"/>
        <w:outlineLvl w:val="0"/>
        <w:rPr>
          <w:rFonts w:ascii="Times New Roman" w:eastAsia="Times New Roman" w:hAnsi="Times New Roman" w:cs="Times New Roman CYR"/>
          <w:b/>
          <w:bCs/>
          <w:sz w:val="28"/>
          <w:szCs w:val="28"/>
          <w:lang w:eastAsia="ru-RU"/>
        </w:rPr>
      </w:pPr>
      <w:r w:rsidRPr="000A0655">
        <w:rPr>
          <w:rFonts w:ascii="Times New Roman" w:eastAsia="Times New Roman" w:hAnsi="Times New Roman" w:cs="Times New Roman CYR"/>
          <w:b/>
          <w:bCs/>
          <w:sz w:val="27"/>
          <w:szCs w:val="27"/>
          <w:lang w:eastAsia="ru-RU"/>
        </w:rPr>
        <w:t>Показатели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дефицита) местного бюджета</w:t>
      </w: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68"/>
        <w:gridCol w:w="4111"/>
        <w:gridCol w:w="1418"/>
        <w:gridCol w:w="2126"/>
        <w:gridCol w:w="2410"/>
        <w:gridCol w:w="2268"/>
      </w:tblGrid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>Расчет значения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>Единица измерения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>Максимальная суммарная оценка по направлению/ оценка по показателю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>Целевое 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>Ответственный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b/>
                <w:sz w:val="24"/>
                <w:szCs w:val="24"/>
                <w:lang w:eastAsia="ru-RU"/>
              </w:rPr>
              <w:t xml:space="preserve"> за предоставление значения показателя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6</w:t>
            </w:r>
          </w:p>
        </w:tc>
      </w:tr>
      <w:tr w:rsidR="000A0655" w:rsidRPr="000A0655" w:rsidTr="000A0655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0" w:name="sub_1001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1. Качество документов, используемых при составлении проекта местного бюджета</w:t>
            </w:r>
            <w:bookmarkEnd w:id="0"/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1" w:name="sub_1011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1.1.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. Своевременность представления реестра расходных обязательств</w:t>
            </w:r>
            <w:bookmarkEnd w:id="1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количество дней отклонения даты регистрации в финансовом управлении (далее - управление) сопроводительного письма главного распорядителя средств местного бюджета (далее также - ГРБС), к которому приложен реестр расходных обязательств ГРБС на очередной финансовый год и на плановый период, от даты представления реестра расходных обязательств, установленной финансовым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день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ориентиром является достижение показателя,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равного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2" w:name="sub_1014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1.2.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. Полнота общей информации о расходных обязательствах</w:t>
            </w:r>
            <w:bookmarkEnd w:id="2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N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0- количество расходных обязательств ГРБС, для которых не указан либо неправильно указан объем расходного обязательства, не указано либо неправильно указано хотя бы одно из следующих полей: реквизиты НПА, являющегося основанием для возникновения расходного обязательства, коды классификации расходов бюджета, по которым предусмотрены ассигнования на исполнение расходного обязательства, код и наименование расходного обязательства ;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N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общее количество расходных обязательств ГРБС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Значение показателя характеризует насколько полно и достоверно отражена информация о расходных обязательствах ГРБС. Целевым показателем является значение показателя, равное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≥90%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≥70%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&lt; 70%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ind w:right="-108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1.3.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ind w:right="-108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Р3 Качество правового акта, регулирующего порядок составления, утверждения и ведения бюджетных смет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Наличие правового акта ГРБС, регламентирующего: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1) процедуры составления, утверждения и ведения бюджетных смет ПБС, применяемые как к ГРБС, так и к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подведомственным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ПБС;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2) процедуры составления и представления расчетов (обоснований) к бюджетным сметам подведомственных ПБС;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3) процедуры составления и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представления проектов бюджетных смет на этапе формирования бюджетных проектировок;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4) другие положения, соответствующие </w:t>
            </w:r>
            <w:hyperlink r:id="rId5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Общим требованиям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к порядку составления, утверждения и ведения бюджетной сметы казенного учреждения, утвержденным </w:t>
            </w:r>
            <w:hyperlink r:id="rId6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приказом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Минфина России от 14 февраля 2018 года № 26н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  <w:t xml:space="preserve">При наличии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  <w:t xml:space="preserve"> ПБС: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Р3-если правовой акт ГРБС полностью соответствует требованиям </w:t>
            </w:r>
            <w:hyperlink w:anchor="sub_1011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пунктов 1-4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Р3 – если правовой акт ГРБС не соответствует хотя бы одному из требований </w:t>
            </w:r>
            <w:hyperlink w:anchor="sub_1011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пунктов 1-4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  <w:t xml:space="preserve">При отсутствии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  <w:t>подведомственных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eastAsia="ru-RU"/>
              </w:rPr>
              <w:t xml:space="preserve"> ПБС: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Р3- если правовой акт ГРБС полностью соответствует требованиям </w:t>
            </w:r>
            <w:hyperlink w:anchor="sub_1011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пунктов 1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, </w:t>
            </w:r>
            <w:hyperlink w:anchor="sub_1013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3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и </w:t>
            </w:r>
            <w:hyperlink w:anchor="sub_1014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Р3- если правовой акт ГРБС не соответствует хотя бы одному из требований </w:t>
            </w:r>
            <w:hyperlink w:anchor="sub_1011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пунктов 1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, </w:t>
            </w:r>
            <w:hyperlink w:anchor="sub_1013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3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, </w:t>
            </w:r>
            <w:hyperlink w:anchor="sub_1014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Р3- если правовой акт ГРБС не утвержден или не соответствует двум и более требованиям </w:t>
            </w:r>
            <w:hyperlink w:anchor="sub_1011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пунктов 1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, </w:t>
            </w:r>
            <w:hyperlink w:anchor="sub_1013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3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, </w:t>
            </w:r>
            <w:hyperlink w:anchor="sub_1014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2. Бюджетное планирование и исполнение местного бюджета в части доходов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2.1.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Качество планирования поступлений налоговых и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неналоговых доходов местного бюджета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= (R/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Rn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) * 100, где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R - кассовое исполнение по налоговым и неналоговым доходам местного бюджета по главному администратору доходов местного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бюджета по данным отчета об исполнении местного бюджета (</w:t>
            </w:r>
            <w:hyperlink r:id="rId7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форма 0503117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) за отчетный финансовый год;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Rn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утвержденное бюджетное назначение по налоговым и неналоговым доходам местного бюджета по главному администратору доходов местного бюджета по данным отчета об исполнении местного бюджета (</w:t>
            </w:r>
            <w:hyperlink r:id="rId8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форма 0503117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) за отчетный финансовый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равное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4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4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&lt;95%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2.2.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Р5 Качество администрирования доходов по возврату из местного бюджета неиспользованных остатков межбюджетных трансфертов, имеющих целевое назначение (далее - целевых остатков прошлых лет), в краевой бюджет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8D2F6A" wp14:editId="7260FB07">
                  <wp:extent cx="1390650" cy="292100"/>
                  <wp:effectExtent l="19050" t="0" r="0" b="0"/>
                  <wp:docPr id="28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9065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D8B2FC3" wp14:editId="2FB3F4D4">
                  <wp:extent cx="279400" cy="273050"/>
                  <wp:effectExtent l="0" t="0" r="0" b="0"/>
                  <wp:docPr id="29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940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объемы доходов по возврату целевых остатков прошлых лет в краевой бюджет по сроку возврата в течение первых 15 рабочих дней отчетного финансового года по данным Отчета об использовании межбюджетных трансфертов из краевого бюджета, районом (</w:t>
            </w:r>
            <w:hyperlink r:id="rId11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ф.0503324</w:t>
              </w:r>
            </w:hyperlink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), (далее - Отчет ф. 0503324);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C42A35" wp14:editId="7193E7C7">
                  <wp:extent cx="254000" cy="273050"/>
                  <wp:effectExtent l="0" t="0" r="0" b="0"/>
                  <wp:docPr id="30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400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кассовое исполнение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по доходам по возврату целевых остатков прошлых лет в краевой бюджет по сроку возврата в течение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первых 15 рабочих дней отчетного финансового года. Показатель не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 xml:space="preserve">применяется в отношении участников мониторинга, у которых отсутствуют объемы доходов по возврату целевых остатков прошлых лет в краевой бюджет по сроку возврата в течение первых 15 рабочих дней отчетного финансового года по данным Отчета </w:t>
            </w:r>
            <w:hyperlink r:id="rId13" w:history="1">
              <w:r w:rsidRPr="000A0655">
                <w:rPr>
                  <w:rFonts w:ascii="Times New Roman" w:eastAsiaTheme="minorEastAsia" w:hAnsi="Times New Roman" w:cs="Times New Roman CYR"/>
                  <w:color w:val="106BBE"/>
                  <w:sz w:val="24"/>
                  <w:szCs w:val="24"/>
                  <w:lang w:eastAsia="ru-RU"/>
                </w:rPr>
                <w:t>ф.0503324</w:t>
              </w:r>
            </w:hyperlink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ind w:right="-250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равное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Р5=100%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Р5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&lt;100%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3" w:name="sub_1004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3. Бюджетное планирование и исполнение местного бюджета в части расходов</w:t>
            </w:r>
            <w:bookmarkEnd w:id="3"/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3.1.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6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Качество осуществления равномерности расходов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22FA3CB" wp14:editId="08AB8F2C">
                  <wp:extent cx="1238250" cy="292100"/>
                  <wp:effectExtent l="19050" t="0" r="0" b="0"/>
                  <wp:docPr id="31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3825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38A03818" wp14:editId="7594B187">
                  <wp:extent cx="222250" cy="273050"/>
                  <wp:effectExtent l="19050" t="0" r="0" b="0"/>
                  <wp:docPr id="32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кассовое исполнение расходов ГРБС  без учета расходов за счет межбюджетных трансфертов представленных из других бюджетов в IV квартале отчетного финансового года;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6B8CD0" wp14:editId="0D0602AC">
                  <wp:extent cx="152400" cy="234950"/>
                  <wp:effectExtent l="1905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4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кассовое исполнение расходов ГРБС без учета расходов за счет межбюджетных трансфертов представленных из других бюджетов в отчетном финансовом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не более 40%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35%&gt;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Р6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≤40%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40%&gt;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Р6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≤45%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6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&gt;45%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3.2.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7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Эффективность использования межбюджетных трансфертов, имеющих целевое назначение,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полученных из краевого бюджета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lastRenderedPageBreak/>
              <w:drawing>
                <wp:inline distT="0" distB="0" distL="0" distR="0" wp14:anchorId="3AA144AB" wp14:editId="57D43933">
                  <wp:extent cx="1295400" cy="292100"/>
                  <wp:effectExtent l="1905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954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3A334A5" wp14:editId="27274CA0">
                  <wp:extent cx="247650" cy="273050"/>
                  <wp:effectExtent l="1905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кассовое исполнение расходов ГРБС, финансовым обеспечением которых являлись межбюджетные трансферты, предоставленные из краевого бюджета в форме субсидий,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субвенций и иных межбюджетных трансфертов, имеющих целевое назначение (далее - целевые средства), в отчетном финансовом году;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9B34FD2" wp14:editId="5F09FFE2">
                  <wp:extent cx="190500" cy="273050"/>
                  <wp:effectExtent l="19050" t="0" r="0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объем лимитов бюджетных обязательств по целевым средствам на 31 декабря отчетного финансового года.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При оценке показателя учитываются ГРБС,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осуществляющие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расходование целевых средств. Показатель не применяется в отношении ГРБС, которым не были доведены в отчетном финансовом году лимиты бюджетных обязательств за счет целевых средств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не менее 97%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7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≥97%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P7&lt;97%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3.3.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Р8 Изменение кредиторской задолженности ГРБС и подведомственных ему муниципальных учреждений в отчетном периоде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Р8=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топ – 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тнг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топ – объем кредиторской задолженности ГРБС и подведомственных ему муниципальных учреждений на начало текущего года,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тнг</w:t>
            </w:r>
            <w:proofErr w:type="spell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объем кредиторской задолженности ГРБС и подведомственных ему учреждений по состоянию на 1 число года, следующего </w:t>
            </w:r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отчетным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Позитивно расценивается отсутствие кредиторской задолженности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Р8&lt;0 (снижение 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задолженности)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Р8=0 (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задолженность не изменилась)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Р8&gt;0 (допущен рост 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Кт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задолженности)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4" w:name="sub_1045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3.4.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9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Наличие просроченной кредиторской задолженности по расходам</w:t>
            </w:r>
            <w:bookmarkEnd w:id="4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объем просроченной кредиторской задолженности ГРБС и подведомственных ПБС по расходам на конец отчетного периода.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spell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Тыс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.р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уб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ориентиром является значение показателя, равное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</w:t>
            </w:r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&gt;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5" w:name="sub_1047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3.5.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Р10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Несоответствие расчетно-платежных документов, представленных в управление, требованиям </w:t>
            </w:r>
            <w:r w:rsidRPr="000A0655">
              <w:rPr>
                <w:rFonts w:ascii="Times New Roman" w:eastAsiaTheme="minorEastAsia" w:hAnsi="Times New Roman" w:cs="Times New Roman CYR"/>
                <w:color w:val="106BBE"/>
                <w:sz w:val="24"/>
                <w:szCs w:val="24"/>
                <w:lang w:eastAsia="ru-RU"/>
              </w:rPr>
              <w:t>бюджетного законодательства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Российской Федерации</w:t>
            </w:r>
            <w:bookmarkEnd w:id="5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DAA5DB7" wp14:editId="2BD9FC70">
                  <wp:extent cx="1314450" cy="292100"/>
                  <wp:effectExtent l="19050" t="0" r="0" b="0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4B62F0D" wp14:editId="3C37E1CF">
                  <wp:extent cx="247650" cy="273050"/>
                  <wp:effectExtent l="19050" t="0" r="0" b="0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количество платежных документов на кассовый расход, представленных ПБС в отчетном финансовом году, и отклоненных управлением по итогам проведения контрольных процедур (за исключением отклоненных по независящим от участника мониторинга причинам);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6DEA51B" wp14:editId="6670CDA7">
                  <wp:extent cx="203200" cy="234950"/>
                  <wp:effectExtent l="1905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общее количество расчетно-платежных документов, принятых управлением от ГРБС и подведомственных ПБС в отчетном финансовом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Шт.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Р10≤10%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Р10&gt;10%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3.6.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Р11 Доля бюджетных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br/>
              <w:t xml:space="preserve">ассигнований, запланированных на реализацию муниципальных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 xml:space="preserve">программ      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 100 x </w:t>
            </w:r>
            <w:proofErr w:type="spell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Sмп</w:t>
            </w:r>
            <w:proofErr w:type="spell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S, где: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мп</w:t>
            </w:r>
            <w:proofErr w:type="spell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объем  бюджетных  ассигнований ГРБС на очередной финансовый год  и     плановый      период, запланированных на реализацию муниципальных  программ;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S - утвержденный объем расходов ГРБС (за исключением субвенций и субсидий, предоставляемых из бюджетов другого уровня)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Позитивно расценивается достижение уровня, при котором не менее 50% ассигнований без учета субвенций и 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субсидий из  бюджетов другого уровня  приходится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на финансирование  программ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 ≥ 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 ≥40%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Р11≥ 30%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Р11≥ 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Р11≥ 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Р11&lt; 10%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3.7.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Р12 Своевременное составление  бюджетной росписи ГРБС и внесение изменений в нее   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Оценивается  соблюдение установленных      сроков       для составления бюджетной росписи  ГРБС и внесения изменений в нее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-бюджетная роспись ГРБС составлена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(внесены изменения) с соблюдением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установленных сроков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-бюджетная роспись ГРБС составлена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(внесены  изменения)  с  нарушением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установленных сроков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3.8.</w:t>
            </w:r>
          </w:p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Р13. Объем неисполненных бюджетных ассигнований на конец отчетного финансового года (без учета целевых 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средств переходящих на следующий финансовый год)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=(b-e) / b, где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 – объем бюджетных ассигнований ГРБС в отчетном финансовом году согласно отчету об исполнении бюджета с учетом внесенных в него изменений</w:t>
            </w:r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;(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без учета целевых средств переходящих на следующий финансовый год)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e –кассовое исполнение расходов ГРБС в отчетном финансовом году (без учета целевых средств переходящих на следующий финансовый год)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ориентиром является значение показателя, не более 0,5%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Р13 &lt; 0,5%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0,5% до 1%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1% до 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5% до 15%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15% до 30%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Р13 &gt; 30%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6" w:name="sub_1006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4. Контроль и аудит</w:t>
            </w:r>
            <w:bookmarkEnd w:id="6"/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7" w:name="sub_1061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4.1.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Р14 Своевременность представления в управление материалов и сведений, необходимых для проведения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мониторинга качества финансового менеджмента главных распорядителей средств местного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бюджета, главных администраторов доходов (источников финансирования дефицита) местного бюджета</w:t>
            </w:r>
            <w:bookmarkEnd w:id="7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количество дней отклонения даты регистрации в управлении сопроводительного письма участника мониторинга, к которому приложены необходимые для расчета показателей мониторинга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дефицита) местного бюджета материалы, от даты их представления, установленной управлением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дней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Р14=0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Р14≥1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rPr>
          <w:trHeight w:val="5541"/>
        </w:trPr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8" w:name="sub_1068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Р15 Наличие на официальном сайте в сети Интернет по размещению информации о муниципальных учреждениях (www.bus.gov.ru) установленного перечня сведений о муниципальных учреждениях (плановые показатели на отчетный финансовый год и фактические показатели за год, предшествующему отчетному финансовому году)</w:t>
            </w:r>
            <w:bookmarkEnd w:id="8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08E7F80" wp14:editId="45BE0055">
                  <wp:extent cx="1314450" cy="292100"/>
                  <wp:effectExtent l="1905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1445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51F8483" wp14:editId="452B61F1">
                  <wp:extent cx="247650" cy="273050"/>
                  <wp:effectExtent l="1905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количество муниципальных учреждений, подведомственных ГРБС, разместивших установленный перечень сведений о муниципальных учреждениях на официальном сайте в сети Интернет по размещению информации о муниципальных учреждениях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C5937EA" wp14:editId="75C2CBEB">
                  <wp:extent cx="203200" cy="234950"/>
                  <wp:effectExtent l="1905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общее количество муниципальных учреждений, подведомственных ГРБС. Показатель не применяется в отношении участников мониторинга, не имеющих подведомственных муниципальных учреждений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не менее 99%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Р15≥99%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Р15≥85%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Р15≥75%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Р15&lt;75%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5. Кадровый потенциал сотрудников, осуществляющих финансово-экономическую деятельность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главного распорядителя бюджетных средств*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9" w:name="sub_1071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5.1.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Р16 Квалификация сотрудников, осуществляющих финансово-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экономическую деятельность</w:t>
            </w:r>
            <w:bookmarkEnd w:id="9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=(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u w:val="single"/>
                <w:lang w:eastAsia="ru-RU"/>
              </w:rPr>
              <w:t>1,2</w:t>
            </w:r>
            <w:proofErr w:type="spellStart"/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u w:val="single"/>
                <w:lang w:val="en-US" w:eastAsia="ru-RU"/>
              </w:rPr>
              <w:t>Nh</w:t>
            </w:r>
            <w:proofErr w:type="spellEnd"/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u w:val="single"/>
                <w:lang w:eastAsia="ru-RU"/>
              </w:rPr>
              <w:t xml:space="preserve">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u w:val="single"/>
                <w:lang w:eastAsia="ru-RU"/>
              </w:rPr>
              <w:t>+ 0,9</w:t>
            </w:r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u w:val="single"/>
                <w:lang w:val="en-US" w:eastAsia="ru-RU"/>
              </w:rPr>
              <w:t>Ns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)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val="en-US" w:eastAsia="ru-RU"/>
              </w:rPr>
              <w:t>x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100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i/>
                <w:sz w:val="24"/>
                <w:szCs w:val="24"/>
                <w:lang w:val="en-US" w:eastAsia="ru-RU"/>
              </w:rPr>
              <w:t>N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                                                         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4D15F440" wp14:editId="5E481B15">
                  <wp:extent cx="247650" cy="273050"/>
                  <wp:effectExtent l="1905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фактическое количество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сотрудников, осуществляющих финансово-экономическую деятельность ГРБС, обладающих дипломами о высшем образовании по экономическим направлениям или о профессиональной переподготовке по экономическим направлениям подготовки (специальностям), не имеющих дипломов кандидата или доктора экономических наук, по состоянию на 1 января текущего финансового года;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F43DAAF" wp14:editId="39292E30">
                  <wp:extent cx="222250" cy="273050"/>
                  <wp:effectExtent l="1905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22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- фактическое количество сотрудников, осуществляющих финансово-экономическую деятельность ГРБС, обладающих дипломами о среднем профессиональном образовании по экономическим направлениям подготовки (специальностям) или обладающих дипломами о высшем профессиональном образовании, но, не имеющих дипломов о высшем экономическом образовании или о профессиональной переподготовке по экономическим направлениям подготовки (специальностям), по состоянию на 1 января года текущего финансового года;</w:t>
            </w:r>
            <w:proofErr w:type="gramEnd"/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BDDAD44" wp14:editId="024D1500">
                  <wp:extent cx="203200" cy="234950"/>
                  <wp:effectExtent l="1905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Р16≥120%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100% ≤Р16&lt;120%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Р16&lt; 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10" w:name="sub_1072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5.2.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Р17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Дополнительное профессиональное образование сотрудников, осуществляющих финансово-экономическую деятельность</w:t>
            </w:r>
            <w:bookmarkEnd w:id="10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22B47E3" wp14:editId="3171B3B9">
                  <wp:extent cx="1358900" cy="292100"/>
                  <wp:effectExtent l="1905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89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2088C08" wp14:editId="4CF10837">
                  <wp:extent cx="292100" cy="273050"/>
                  <wp:effectExtent l="1905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210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количество сотрудников, осуществляющих финансово-экономическую деятельность ГРБС, обладающих свидетельствами (сертификатами, удостоверениями) о прохождении повышения квалификации в области экономики и финансов в течение трех лет, предшествующих текущему финансовому году;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5D502D1" wp14:editId="67D9E7C9">
                  <wp:extent cx="203200" cy="234950"/>
                  <wp:effectExtent l="1905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равное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Р17=100%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100%&lt;Р17≥80%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Р17&lt;80%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11" w:name="sub_1073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5.3.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Р18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Укомплектованность должностей сотрудниками, осуществляющих финансово-экономическую деятельность</w:t>
            </w:r>
            <w:bookmarkEnd w:id="11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2D9DFE62" wp14:editId="2134D2D1">
                  <wp:extent cx="1193800" cy="254000"/>
                  <wp:effectExtent l="1905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93800" cy="254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,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2884DE8" wp14:editId="422176AD">
                  <wp:extent cx="146050" cy="234950"/>
                  <wp:effectExtent l="1905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605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фактическое количество сотрудников, осуществляющих финансово-экономическую деятельность ГРБС, по состоянию на 1 января текущего финансового года;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18D2A9F0" wp14:editId="64CE138F">
                  <wp:extent cx="203200" cy="234950"/>
                  <wp:effectExtent l="1905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общее количество должностей сотрудников, осуществляющих финансово-экономическую деятельность ГРБС по штатному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расписанию, по состоянию на 1 января текущего финансового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равное 100%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Р18=100%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100%&lt;Р18≥80%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Р18&lt;80%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bookmarkStart w:id="12" w:name="sub_1074"/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5.4.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Р19 Количество сотрудников, осуществляющих финансово-экономическую деятельность ГРБС, имеющих стаж работы в финансово-экономической сфере более трех лет, по состоянию на 1 января текущего финансового года</w:t>
            </w:r>
            <w:bookmarkEnd w:id="12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0D137B4" wp14:editId="0552DDAB">
                  <wp:extent cx="1155700" cy="292100"/>
                  <wp:effectExtent l="1905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5700" cy="2921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, где: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570EA477" wp14:editId="67C83DAC">
                  <wp:extent cx="247650" cy="273050"/>
                  <wp:effectExtent l="1905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73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количество сотрудников, осуществляющих финансово-экономическую деятельность ГРБС, имеющих стаж работы в финансово-экономической сфере более трех лет, по состоянию на 1 января текущего финансового года;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07F2E487" wp14:editId="0C35B7E2">
                  <wp:extent cx="203200" cy="234950"/>
                  <wp:effectExtent l="1905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3200" cy="2349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 - общее фактическое количество сотрудников, осуществляющих финансово-экономическую деятельность ГРБС, по состоянию на 1 января текущего финансового года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показателем является значение показателя, не менее 50%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Уполномоченное должностное лицо администрации поселения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Р19≥50%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Р19&lt;50%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1460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6. Оценка исполнения судебных актов</w:t>
            </w: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6.1 </w:t>
            </w:r>
          </w:p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 xml:space="preserve">Р20 Доля средств, подлежащая взысканию по исполнительным   документам,         предусматривающих обращение взыскания на средства  бюджета по денежным </w:t>
            </w: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обязательствам бюджетных учреждений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Р= 100 x </w:t>
            </w:r>
            <w:proofErr w:type="spell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Sиск</w:t>
            </w:r>
            <w:proofErr w:type="spellEnd"/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/ Е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где:             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proofErr w:type="spellStart"/>
            <w:proofErr w:type="gramStart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</w:t>
            </w:r>
            <w:proofErr w:type="gram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иск</w:t>
            </w:r>
            <w:proofErr w:type="spellEnd"/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сумма, взысканная за счет средств местного бюджета  по поступившим  в адрес ГРБС исполнительным  документам и подведомственных ему муниципальных учреждений по состоянию   на   конец    отчетного периода;</w:t>
            </w:r>
          </w:p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Е - кассовое  исполнение  расходов</w:t>
            </w: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ГРБС и подведомственных ему муниципальных учреждений за отчетный период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lastRenderedPageBreak/>
              <w:t>%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Целевым ориентиром является значение показателя, равное 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Р20 =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22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Р20 &gt; 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  <w:tr w:rsidR="000A0655" w:rsidRPr="000A0655" w:rsidTr="000A0655">
        <w:tc>
          <w:tcPr>
            <w:tcW w:w="9923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Максимальная суммарная оценка качества финансового менеджмента ГРБС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655" w:rsidRPr="000A0655" w:rsidRDefault="000A0655" w:rsidP="000A06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06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100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A0655" w:rsidRPr="000A0655" w:rsidRDefault="000A0655" w:rsidP="000A0655">
            <w:pPr>
              <w:widowControl w:val="0"/>
              <w:autoSpaceDE w:val="0"/>
              <w:autoSpaceDN w:val="0"/>
              <w:adjustRightInd w:val="0"/>
              <w:spacing w:after="0" w:line="223" w:lineRule="auto"/>
              <w:jc w:val="center"/>
              <w:rPr>
                <w:rFonts w:ascii="Times New Roman" w:eastAsiaTheme="minorEastAsia" w:hAnsi="Times New Roman" w:cs="Times New Roman CYR"/>
                <w:sz w:val="24"/>
                <w:szCs w:val="24"/>
                <w:lang w:eastAsia="ru-RU"/>
              </w:rPr>
            </w:pPr>
          </w:p>
        </w:tc>
      </w:tr>
    </w:tbl>
    <w:p w:rsidR="000A0655" w:rsidRPr="000A0655" w:rsidRDefault="000A0655" w:rsidP="000A0655">
      <w:pPr>
        <w:widowControl w:val="0"/>
        <w:autoSpaceDE w:val="0"/>
        <w:autoSpaceDN w:val="0"/>
        <w:adjustRightInd w:val="0"/>
        <w:spacing w:before="75" w:after="0" w:line="240" w:lineRule="auto"/>
        <w:ind w:left="170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shd w:val="clear" w:color="auto" w:fill="F0F0F0"/>
          <w:lang w:eastAsia="ru-RU"/>
        </w:rPr>
      </w:pPr>
    </w:p>
    <w:p w:rsidR="000A0655" w:rsidRPr="000A0655" w:rsidRDefault="000A0655" w:rsidP="000A0655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26282F"/>
          <w:sz w:val="28"/>
          <w:szCs w:val="28"/>
          <w:lang w:eastAsia="ru-RU"/>
        </w:rPr>
      </w:pPr>
    </w:p>
    <w:p w:rsidR="000A0655" w:rsidRPr="000A0655" w:rsidRDefault="000A0655" w:rsidP="000A0655">
      <w:pPr>
        <w:widowControl w:val="0"/>
        <w:autoSpaceDE w:val="0"/>
        <w:autoSpaceDN w:val="0"/>
        <w:adjustRightInd w:val="0"/>
        <w:spacing w:after="0" w:line="223" w:lineRule="auto"/>
        <w:rPr>
          <w:rFonts w:ascii="Times New Roman" w:eastAsiaTheme="minorEastAsia" w:hAnsi="Times New Roman" w:cs="Times New Roman CYR"/>
          <w:sz w:val="23"/>
          <w:szCs w:val="23"/>
          <w:lang w:eastAsia="ru-RU"/>
        </w:rPr>
      </w:pPr>
      <w:r w:rsidRPr="000A0655">
        <w:rPr>
          <w:rFonts w:ascii="Times New Roman" w:eastAsiaTheme="minorEastAsia" w:hAnsi="Times New Roman" w:cs="Times New Roman CYR"/>
          <w:b/>
          <w:bCs/>
          <w:color w:val="26282F"/>
          <w:sz w:val="28"/>
          <w:szCs w:val="28"/>
          <w:lang w:eastAsia="ru-RU"/>
        </w:rPr>
        <w:t>*</w:t>
      </w:r>
      <w:r w:rsidRPr="000A0655">
        <w:rPr>
          <w:rFonts w:ascii="Times New Roman" w:eastAsiaTheme="minorEastAsia" w:hAnsi="Times New Roman" w:cs="Times New Roman CYR"/>
          <w:sz w:val="23"/>
          <w:szCs w:val="23"/>
          <w:lang w:eastAsia="ru-RU"/>
        </w:rPr>
        <w:t xml:space="preserve">Показатели рассчитываются на основании Сведений о кадровом потенциале сотрудников, осуществляющих финансово-экономическую деятельность главного распорядителя средств местного </w:t>
      </w:r>
      <w:proofErr w:type="gramStart"/>
      <w:r w:rsidRPr="000A0655">
        <w:rPr>
          <w:rFonts w:ascii="Times New Roman" w:eastAsiaTheme="minorEastAsia" w:hAnsi="Times New Roman" w:cs="Times New Roman CYR"/>
          <w:sz w:val="23"/>
          <w:szCs w:val="23"/>
          <w:lang w:eastAsia="ru-RU"/>
        </w:rPr>
        <w:t>бюджета</w:t>
      </w:r>
      <w:proofErr w:type="gramEnd"/>
      <w:r w:rsidRPr="000A0655">
        <w:rPr>
          <w:rFonts w:ascii="Times New Roman" w:eastAsiaTheme="minorEastAsia" w:hAnsi="Times New Roman" w:cs="Times New Roman CYR"/>
          <w:sz w:val="23"/>
          <w:szCs w:val="23"/>
          <w:lang w:eastAsia="ru-RU"/>
        </w:rPr>
        <w:t xml:space="preserve"> но форме согласно </w:t>
      </w:r>
      <w:hyperlink w:anchor="sub_20000" w:history="1">
        <w:r w:rsidRPr="000A0655">
          <w:rPr>
            <w:rFonts w:ascii="Times New Roman" w:eastAsiaTheme="minorEastAsia" w:hAnsi="Times New Roman" w:cs="Times New Roman CYR"/>
            <w:color w:val="106BBE"/>
            <w:sz w:val="23"/>
            <w:szCs w:val="23"/>
            <w:lang w:eastAsia="ru-RU"/>
          </w:rPr>
          <w:t>приложению № 2</w:t>
        </w:r>
      </w:hyperlink>
      <w:r w:rsidRPr="000A0655">
        <w:rPr>
          <w:rFonts w:ascii="Times New Roman" w:eastAsiaTheme="minorEastAsia" w:hAnsi="Times New Roman" w:cs="Times New Roman CYR"/>
          <w:sz w:val="23"/>
          <w:szCs w:val="23"/>
          <w:lang w:eastAsia="ru-RU"/>
        </w:rPr>
        <w:t xml:space="preserve"> к Положению о мониторинге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 бюджета)</w:t>
      </w:r>
    </w:p>
    <w:p w:rsidR="0083084C" w:rsidRDefault="0083084C">
      <w:bookmarkStart w:id="13" w:name="_GoBack"/>
      <w:bookmarkEnd w:id="13"/>
    </w:p>
    <w:sectPr w:rsidR="0083084C" w:rsidSect="000A065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4D07"/>
    <w:rsid w:val="000A0655"/>
    <w:rsid w:val="006E582D"/>
    <w:rsid w:val="0083084C"/>
    <w:rsid w:val="00884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6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0A065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A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06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81732.503117" TargetMode="External"/><Relationship Id="rId13" Type="http://schemas.openxmlformats.org/officeDocument/2006/relationships/hyperlink" Target="garantF1://70187312.1000" TargetMode="External"/><Relationship Id="rId18" Type="http://schemas.openxmlformats.org/officeDocument/2006/relationships/image" Target="media/image8.emf"/><Relationship Id="rId26" Type="http://schemas.openxmlformats.org/officeDocument/2006/relationships/image" Target="media/image16.emf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1.emf"/><Relationship Id="rId34" Type="http://schemas.openxmlformats.org/officeDocument/2006/relationships/image" Target="media/image24.emf"/><Relationship Id="rId7" Type="http://schemas.openxmlformats.org/officeDocument/2006/relationships/hyperlink" Target="garantF1://12081732.503117" TargetMode="External"/><Relationship Id="rId12" Type="http://schemas.openxmlformats.org/officeDocument/2006/relationships/image" Target="media/image3.emf"/><Relationship Id="rId17" Type="http://schemas.openxmlformats.org/officeDocument/2006/relationships/image" Target="media/image7.emf"/><Relationship Id="rId25" Type="http://schemas.openxmlformats.org/officeDocument/2006/relationships/image" Target="media/image15.emf"/><Relationship Id="rId33" Type="http://schemas.openxmlformats.org/officeDocument/2006/relationships/image" Target="media/image23.emf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image" Target="media/image6.emf"/><Relationship Id="rId20" Type="http://schemas.openxmlformats.org/officeDocument/2006/relationships/image" Target="media/image10.emf"/><Relationship Id="rId29" Type="http://schemas.openxmlformats.org/officeDocument/2006/relationships/image" Target="media/image19.emf"/><Relationship Id="rId1" Type="http://schemas.openxmlformats.org/officeDocument/2006/relationships/styles" Target="styles.xml"/><Relationship Id="rId6" Type="http://schemas.openxmlformats.org/officeDocument/2006/relationships/hyperlink" Target="garantF1://12057835.0" TargetMode="External"/><Relationship Id="rId11" Type="http://schemas.openxmlformats.org/officeDocument/2006/relationships/hyperlink" Target="garantF1://70187312.1000" TargetMode="External"/><Relationship Id="rId24" Type="http://schemas.openxmlformats.org/officeDocument/2006/relationships/image" Target="media/image14.emf"/><Relationship Id="rId32" Type="http://schemas.openxmlformats.org/officeDocument/2006/relationships/image" Target="media/image22.emf"/><Relationship Id="rId37" Type="http://schemas.openxmlformats.org/officeDocument/2006/relationships/image" Target="media/image27.emf"/><Relationship Id="rId5" Type="http://schemas.openxmlformats.org/officeDocument/2006/relationships/hyperlink" Target="garantF1://12057835.1000" TargetMode="External"/><Relationship Id="rId15" Type="http://schemas.openxmlformats.org/officeDocument/2006/relationships/image" Target="media/image5.emf"/><Relationship Id="rId23" Type="http://schemas.openxmlformats.org/officeDocument/2006/relationships/image" Target="media/image13.emf"/><Relationship Id="rId28" Type="http://schemas.openxmlformats.org/officeDocument/2006/relationships/image" Target="media/image18.emf"/><Relationship Id="rId36" Type="http://schemas.openxmlformats.org/officeDocument/2006/relationships/image" Target="media/image26.emf"/><Relationship Id="rId10" Type="http://schemas.openxmlformats.org/officeDocument/2006/relationships/image" Target="media/image2.emf"/><Relationship Id="rId19" Type="http://schemas.openxmlformats.org/officeDocument/2006/relationships/image" Target="media/image9.emf"/><Relationship Id="rId31" Type="http://schemas.openxmlformats.org/officeDocument/2006/relationships/image" Target="media/image21.emf"/><Relationship Id="rId4" Type="http://schemas.openxmlformats.org/officeDocument/2006/relationships/webSettings" Target="webSettings.xml"/><Relationship Id="rId9" Type="http://schemas.openxmlformats.org/officeDocument/2006/relationships/image" Target="media/image1.emf"/><Relationship Id="rId14" Type="http://schemas.openxmlformats.org/officeDocument/2006/relationships/image" Target="media/image4.emf"/><Relationship Id="rId22" Type="http://schemas.openxmlformats.org/officeDocument/2006/relationships/image" Target="media/image12.emf"/><Relationship Id="rId27" Type="http://schemas.openxmlformats.org/officeDocument/2006/relationships/image" Target="media/image17.emf"/><Relationship Id="rId30" Type="http://schemas.openxmlformats.org/officeDocument/2006/relationships/image" Target="media/image20.emf"/><Relationship Id="rId35" Type="http://schemas.openxmlformats.org/officeDocument/2006/relationships/image" Target="media/image25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2605</Words>
  <Characters>14854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3</cp:revision>
  <dcterms:created xsi:type="dcterms:W3CDTF">2020-09-08T07:58:00Z</dcterms:created>
  <dcterms:modified xsi:type="dcterms:W3CDTF">2020-09-08T10:10:00Z</dcterms:modified>
</cp:coreProperties>
</file>